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before="0" w:beforeLines="0" w:after="0" w:afterLines="0" w:line="480" w:lineRule="auto"/>
        <w:ind w:firstLine="0"/>
        <w:jc w:val="center"/>
        <w:rPr>
          <w:rFonts w:hint="eastAsia"/>
          <w:sz w:val="21"/>
          <w:szCs w:val="21"/>
        </w:rPr>
      </w:pPr>
      <w:bookmarkStart w:id="0" w:name="_GoBack"/>
      <w:r>
        <w:rPr>
          <w:rFonts w:hint="eastAsia"/>
          <w:kern w:val="21"/>
          <w:sz w:val="21"/>
          <w:szCs w:val="21"/>
        </w:rPr>
        <w:t>附件</w:t>
      </w:r>
      <w:r>
        <w:rPr>
          <w:rFonts w:hint="eastAsia"/>
          <w:b/>
          <w:kern w:val="21"/>
          <w:sz w:val="21"/>
          <w:szCs w:val="21"/>
        </w:rPr>
        <w:t>3</w:t>
      </w:r>
      <w:r>
        <w:rPr>
          <w:rFonts w:hint="eastAsia"/>
          <w:kern w:val="21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＿月（年）电力事故基本信息统计表</w:t>
      </w:r>
    </w:p>
    <w:bookmarkEnd w:id="0"/>
    <w:p>
      <w:pPr>
        <w:adjustRightInd w:val="0"/>
        <w:ind w:firstLine="360"/>
        <w:rPr>
          <w:rFonts w:hint="eastAsia"/>
          <w:color w:val="000000"/>
          <w:kern w:val="18"/>
          <w:sz w:val="18"/>
          <w:szCs w:val="18"/>
        </w:rPr>
      </w:pPr>
      <w:r>
        <w:rPr>
          <w:rFonts w:hint="eastAsia"/>
          <w:color w:val="000000"/>
          <w:kern w:val="18"/>
          <w:sz w:val="18"/>
          <w:szCs w:val="18"/>
        </w:rPr>
        <w:t>填报单位（章）：</w:t>
      </w:r>
    </w:p>
    <w:tbl>
      <w:tblPr>
        <w:tblStyle w:val="3"/>
        <w:tblW w:w="5000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83"/>
        <w:gridCol w:w="744"/>
        <w:gridCol w:w="733"/>
        <w:gridCol w:w="768"/>
        <w:gridCol w:w="1187"/>
        <w:gridCol w:w="155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16"/>
              <w:jc w:val="right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项目</w:t>
            </w:r>
          </w:p>
          <w:p>
            <w:pPr>
              <w:pStyle w:val="16"/>
              <w:jc w:val="both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序号</w:t>
            </w:r>
          </w:p>
        </w:tc>
        <w:tc>
          <w:tcPr>
            <w:tcW w:w="29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时间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地点</w:t>
            </w:r>
          </w:p>
          <w:p>
            <w:pPr>
              <w:pStyle w:val="16"/>
              <w:topLinePunct w:val="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（单位）</w:t>
            </w:r>
          </w:p>
        </w:tc>
        <w:tc>
          <w:tcPr>
            <w:tcW w:w="44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事故</w:t>
            </w:r>
            <w:r>
              <w:rPr>
                <w:kern w:val="21"/>
              </w:rPr>
              <w:br w:type="textWrapping"/>
            </w:r>
            <w:r>
              <w:rPr>
                <w:rFonts w:hint="eastAsia"/>
                <w:kern w:val="21"/>
              </w:rPr>
              <w:t>类型</w:t>
            </w:r>
          </w:p>
        </w:tc>
        <w:tc>
          <w:tcPr>
            <w:tcW w:w="46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事故等级</w:t>
            </w:r>
          </w:p>
        </w:tc>
        <w:tc>
          <w:tcPr>
            <w:tcW w:w="71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电力人身伤亡事故类别</w:t>
            </w:r>
          </w:p>
        </w:tc>
        <w:tc>
          <w:tcPr>
            <w:tcW w:w="93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造成电力安全事故/设备事故责任原因</w:t>
            </w:r>
          </w:p>
        </w:tc>
        <w:tc>
          <w:tcPr>
            <w:tcW w:w="83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事故简要经过、后果及处置情况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1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2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3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pStyle w:val="16"/>
              <w:ind w:firstLine="160" w:firstLineChars="100"/>
              <w:jc w:val="both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填报说明：</w:t>
            </w:r>
          </w:p>
        </w:tc>
      </w:tr>
    </w:tbl>
    <w:p>
      <w:pPr>
        <w:adjustRightInd w:val="0"/>
        <w:ind w:firstLine="320"/>
        <w:rPr>
          <w:rFonts w:hint="eastAsia"/>
          <w:color w:val="000000"/>
          <w:kern w:val="16"/>
          <w:sz w:val="16"/>
          <w:szCs w:val="16"/>
        </w:rPr>
      </w:pPr>
      <w:r>
        <w:rPr>
          <w:rFonts w:hint="eastAsia"/>
          <w:color w:val="000000"/>
          <w:kern w:val="16"/>
          <w:sz w:val="16"/>
          <w:szCs w:val="16"/>
        </w:rPr>
        <w:t xml:space="preserve">审核人签字：          制表人签字：              填报日期：    年  月  日 </w:t>
      </w:r>
    </w:p>
    <w:p>
      <w:pPr>
        <w:adjustRightInd w:val="0"/>
        <w:spacing w:line="240" w:lineRule="exact"/>
        <w:ind w:firstLine="320"/>
        <w:rPr>
          <w:rFonts w:hint="eastAsia"/>
          <w:color w:val="000000"/>
          <w:kern w:val="21"/>
          <w:sz w:val="16"/>
          <w:szCs w:val="16"/>
        </w:rPr>
      </w:pPr>
      <w:r>
        <w:rPr>
          <w:rFonts w:hint="eastAsia"/>
          <w:color w:val="000000"/>
          <w:kern w:val="21"/>
          <w:sz w:val="16"/>
          <w:szCs w:val="16"/>
        </w:rPr>
        <w:t>注：1．事故类型：电力生产人身伤亡事故、电力建设人身伤亡事故、电力安全事故、设备事故。</w:t>
      </w:r>
    </w:p>
    <w:p>
      <w:pPr>
        <w:adjustRightInd w:val="0"/>
        <w:spacing w:line="240" w:lineRule="exact"/>
        <w:ind w:left="882" w:leftChars="153" w:hanging="561" w:hangingChars="351"/>
        <w:rPr>
          <w:rFonts w:hint="eastAsia"/>
          <w:color w:val="000000"/>
          <w:kern w:val="21"/>
          <w:sz w:val="16"/>
          <w:szCs w:val="16"/>
        </w:rPr>
      </w:pPr>
      <w:r>
        <w:rPr>
          <w:rFonts w:hint="eastAsia"/>
          <w:color w:val="000000"/>
          <w:kern w:val="21"/>
          <w:sz w:val="16"/>
          <w:szCs w:val="16"/>
        </w:rPr>
        <w:t>　　2．事故等级：一般、较大、重大和特别重大。</w:t>
      </w:r>
    </w:p>
    <w:p>
      <w:pPr>
        <w:adjustRightInd w:val="0"/>
        <w:spacing w:line="240" w:lineRule="exact"/>
        <w:ind w:left="882" w:leftChars="153" w:hanging="561" w:hangingChars="351"/>
        <w:rPr>
          <w:rFonts w:hint="eastAsia"/>
          <w:color w:val="000000"/>
          <w:kern w:val="21"/>
          <w:sz w:val="16"/>
          <w:szCs w:val="16"/>
        </w:rPr>
      </w:pPr>
      <w:r>
        <w:rPr>
          <w:rFonts w:hint="eastAsia"/>
          <w:color w:val="000000"/>
          <w:kern w:val="21"/>
          <w:sz w:val="16"/>
          <w:szCs w:val="16"/>
        </w:rPr>
        <w:t>　　3．电力人身伤亡事故类别；触电、高处坠落、物体打击、机械伤害、淹湖、灼烫伤、火灾、坍塌、中毒、爆炸、道路交通等。</w:t>
      </w:r>
    </w:p>
    <w:p>
      <w:pPr>
        <w:adjustRightInd w:val="0"/>
        <w:spacing w:line="240" w:lineRule="exact"/>
        <w:ind w:left="882" w:leftChars="153" w:hanging="561" w:hangingChars="351"/>
        <w:rPr>
          <w:rFonts w:hint="eastAsia"/>
          <w:color w:val="000000"/>
          <w:kern w:val="21"/>
          <w:sz w:val="16"/>
          <w:szCs w:val="16"/>
        </w:rPr>
      </w:pPr>
      <w:r>
        <w:rPr>
          <w:rFonts w:hint="eastAsia"/>
          <w:color w:val="000000"/>
          <w:kern w:val="21"/>
          <w:sz w:val="16"/>
          <w:szCs w:val="16"/>
        </w:rPr>
        <w:t>　　4．造成电力安全事故/设备事故责任原因：规划设计不周、制造质量不良、施工安装不良、检修质量不良、调整试验不当、运行不当、管理不当、调度不当、电力系统影响、用户误操作、外力破坏、自然灾害等。</w:t>
      </w:r>
    </w:p>
    <w:p>
      <w:pPr>
        <w:adjustRightInd w:val="0"/>
        <w:spacing w:line="240" w:lineRule="exact"/>
        <w:ind w:firstLine="320"/>
        <w:rPr>
          <w:rFonts w:hint="eastAsia"/>
          <w:color w:val="000000"/>
          <w:kern w:val="21"/>
          <w:sz w:val="16"/>
          <w:szCs w:val="16"/>
        </w:rPr>
      </w:pPr>
      <w:r>
        <w:rPr>
          <w:rFonts w:hint="eastAsia"/>
          <w:color w:val="000000"/>
          <w:kern w:val="21"/>
          <w:sz w:val="16"/>
          <w:szCs w:val="16"/>
        </w:rPr>
        <w:t>　　5．本页填报不完的可另附页。</w:t>
      </w:r>
    </w:p>
    <w:p>
      <w:pPr>
        <w:pStyle w:val="20"/>
        <w:rPr>
          <w:rFonts w:hint="eastAsia"/>
        </w:rPr>
      </w:pPr>
      <w:r>
        <w:rPr>
          <w:rFonts w:hint="eastAsia"/>
        </w:rPr>
        <w:t>＿月（年）电力安全事件信息统计表</w:t>
      </w:r>
    </w:p>
    <w:p>
      <w:pPr>
        <w:adjustRightInd w:val="0"/>
        <w:ind w:firstLine="360"/>
        <w:rPr>
          <w:rFonts w:hint="eastAsia"/>
          <w:color w:val="000000"/>
          <w:kern w:val="18"/>
          <w:sz w:val="18"/>
          <w:szCs w:val="18"/>
        </w:rPr>
      </w:pPr>
      <w:r>
        <w:rPr>
          <w:rFonts w:hint="eastAsia"/>
          <w:color w:val="000000"/>
          <w:kern w:val="18"/>
          <w:sz w:val="18"/>
          <w:szCs w:val="18"/>
        </w:rPr>
        <w:t>填报单位（章）：</w:t>
      </w:r>
    </w:p>
    <w:tbl>
      <w:tblPr>
        <w:tblStyle w:val="3"/>
        <w:tblW w:w="5000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979"/>
        <w:gridCol w:w="952"/>
        <w:gridCol w:w="2025"/>
        <w:gridCol w:w="1872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项目</w:t>
            </w:r>
          </w:p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序号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时间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地点</w:t>
            </w:r>
          </w:p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（单位）</w:t>
            </w:r>
          </w:p>
        </w:tc>
        <w:tc>
          <w:tcPr>
            <w:tcW w:w="572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事故类型</w:t>
            </w:r>
          </w:p>
        </w:tc>
        <w:tc>
          <w:tcPr>
            <w:tcW w:w="121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造成电力安全事件原因</w:t>
            </w:r>
          </w:p>
        </w:tc>
        <w:tc>
          <w:tcPr>
            <w:tcW w:w="112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事件简要经过、后果</w:t>
            </w:r>
          </w:p>
        </w:tc>
        <w:tc>
          <w:tcPr>
            <w:tcW w:w="78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事件处置情况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1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2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3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85" w:type="dxa"/>
              <w:left w:w="0" w:type="dxa"/>
              <w:bottom w:w="85" w:type="dxa"/>
              <w:right w:w="0" w:type="dxa"/>
            </w:tcMar>
            <w:vAlign w:val="top"/>
          </w:tcPr>
          <w:p>
            <w:pPr>
              <w:pStyle w:val="16"/>
              <w:ind w:firstLine="160" w:firstLineChars="100"/>
              <w:jc w:val="both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填报说明：本月（年）事件次数____，本年累计____，上年同期____，上年累计____。</w:t>
            </w:r>
          </w:p>
        </w:tc>
      </w:tr>
    </w:tbl>
    <w:p>
      <w:pPr>
        <w:adjustRightInd w:val="0"/>
        <w:ind w:firstLine="320"/>
        <w:rPr>
          <w:rFonts w:hint="eastAsia"/>
          <w:color w:val="000000"/>
          <w:kern w:val="16"/>
          <w:sz w:val="16"/>
          <w:szCs w:val="16"/>
        </w:rPr>
      </w:pPr>
      <w:r>
        <w:rPr>
          <w:rFonts w:hint="eastAsia"/>
          <w:color w:val="000000"/>
          <w:kern w:val="16"/>
          <w:sz w:val="16"/>
          <w:szCs w:val="16"/>
        </w:rPr>
        <w:t xml:space="preserve">审核人签字：          制表人签字：              填报日期：    年  月  日 </w:t>
      </w:r>
    </w:p>
    <w:p>
      <w:pPr>
        <w:adjustRightInd w:val="0"/>
        <w:spacing w:line="240" w:lineRule="exact"/>
        <w:ind w:left="882" w:leftChars="153" w:hanging="561" w:hangingChars="351"/>
        <w:rPr>
          <w:rFonts w:hint="eastAsia"/>
          <w:color w:val="000000"/>
          <w:kern w:val="16"/>
          <w:sz w:val="16"/>
          <w:szCs w:val="16"/>
        </w:rPr>
      </w:pPr>
      <w:r>
        <w:rPr>
          <w:rFonts w:hint="eastAsia"/>
          <w:color w:val="000000"/>
          <w:kern w:val="16"/>
          <w:sz w:val="16"/>
          <w:szCs w:val="16"/>
        </w:rPr>
        <w:t>注：1．事件类型：影响电力（热力）正常供应事件（参见《电力安全事件监督管理规定》第六条第一、十款）、影响电力系统安全稳定运行事件（参见第六条第二、三、四、五、七款）、造成较大社会影响事件（参见第六条第六、八、九款）。</w:t>
      </w:r>
    </w:p>
    <w:p>
      <w:pPr>
        <w:adjustRightInd w:val="0"/>
        <w:spacing w:line="240" w:lineRule="exact"/>
        <w:ind w:left="882" w:leftChars="153" w:hanging="561" w:hangingChars="351"/>
        <w:rPr>
          <w:rFonts w:hint="eastAsia"/>
          <w:color w:val="000000"/>
          <w:kern w:val="16"/>
          <w:sz w:val="16"/>
          <w:szCs w:val="16"/>
        </w:rPr>
      </w:pPr>
      <w:r>
        <w:rPr>
          <w:rFonts w:hint="eastAsia"/>
          <w:color w:val="000000"/>
          <w:kern w:val="16"/>
          <w:sz w:val="16"/>
          <w:szCs w:val="16"/>
        </w:rPr>
        <w:t>　　2．造成电力安全事件原因；规划设计不周、制造质量不良、施工安装不良、检修质量不良、调整试验不当、运行不当、管理不当、用户误操作、外力破坏、自然灾害等。</w:t>
      </w:r>
    </w:p>
    <w:p>
      <w:pPr>
        <w:adjustRightInd w:val="0"/>
        <w:spacing w:line="240" w:lineRule="exact"/>
        <w:ind w:left="882" w:leftChars="153" w:hanging="561" w:hangingChars="351"/>
        <w:rPr>
          <w:rFonts w:hint="eastAsia"/>
          <w:color w:val="000000"/>
          <w:kern w:val="16"/>
          <w:sz w:val="16"/>
          <w:szCs w:val="16"/>
        </w:rPr>
      </w:pPr>
      <w:r>
        <w:rPr>
          <w:rFonts w:hint="eastAsia"/>
          <w:color w:val="000000"/>
          <w:kern w:val="16"/>
          <w:sz w:val="16"/>
          <w:szCs w:val="16"/>
        </w:rPr>
        <w:t>　　3．本页填报不完的可另附页。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309D1"/>
    <w:rsid w:val="325C2A96"/>
    <w:rsid w:val="4C774289"/>
    <w:rsid w:val="57A81B4F"/>
    <w:rsid w:val="603E0193"/>
    <w:rsid w:val="7A8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1"/>
    <w:basedOn w:val="1"/>
    <w:qFormat/>
    <w:uiPriority w:val="0"/>
    <w:pPr>
      <w:topLinePunct/>
      <w:adjustRightInd w:val="0"/>
      <w:spacing w:before="150" w:beforeLines="150"/>
      <w:jc w:val="center"/>
    </w:pPr>
    <w:rPr>
      <w:rFonts w:ascii="方正小标宋_GBK" w:hAnsi="宋体" w:eastAsia="方正小标宋_GBK" w:cs="宋体"/>
      <w:color w:val="000000"/>
      <w:kern w:val="21"/>
      <w:sz w:val="32"/>
      <w:szCs w:val="32"/>
    </w:rPr>
  </w:style>
  <w:style w:type="paragraph" w:customStyle="1" w:styleId="6">
    <w:name w:val="d2"/>
    <w:basedOn w:val="1"/>
    <w:qFormat/>
    <w:uiPriority w:val="0"/>
    <w:pPr>
      <w:topLinePunct/>
      <w:adjustRightInd w:val="0"/>
      <w:spacing w:after="489" w:afterLines="150"/>
      <w:jc w:val="center"/>
    </w:pPr>
    <w:rPr>
      <w:rFonts w:eastAsia="楷体_GB2312"/>
      <w:color w:val="000000"/>
      <w:kern w:val="21"/>
      <w:sz w:val="24"/>
    </w:rPr>
  </w:style>
  <w:style w:type="paragraph" w:customStyle="1" w:styleId="7">
    <w:name w:val="正文 New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customStyle="1" w:styleId="8">
    <w:name w:val="正文 New New New New New New New New New New New New New New New New New New New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9">
    <w:name w:val="yh"/>
    <w:basedOn w:val="1"/>
    <w:qFormat/>
    <w:uiPriority w:val="0"/>
    <w:pPr>
      <w:topLinePunct/>
      <w:adjustRightInd w:val="0"/>
      <w:ind w:right="420" w:rightChars="200" w:firstLine="420" w:firstLineChars="200"/>
      <w:jc w:val="right"/>
    </w:pPr>
    <w:rPr>
      <w:rFonts w:ascii="黑体" w:hAnsi="宋体" w:eastAsia="黑体" w:cs="宋体"/>
      <w:color w:val="000000"/>
      <w:kern w:val="21"/>
      <w:szCs w:val="21"/>
    </w:rPr>
  </w:style>
  <w:style w:type="paragraph" w:customStyle="1" w:styleId="10">
    <w:name w:val="yk"/>
    <w:basedOn w:val="1"/>
    <w:qFormat/>
    <w:uiPriority w:val="0"/>
    <w:pPr>
      <w:topLinePunct/>
      <w:adjustRightInd w:val="0"/>
      <w:ind w:right="839" w:rightChars="400" w:firstLine="420" w:firstLineChars="200"/>
      <w:jc w:val="right"/>
    </w:pPr>
    <w:rPr>
      <w:rFonts w:eastAsia="楷体_GB2312"/>
      <w:color w:val="000000"/>
      <w:kern w:val="21"/>
      <w:szCs w:val="21"/>
    </w:rPr>
  </w:style>
  <w:style w:type="paragraph" w:customStyle="1" w:styleId="11">
    <w:name w:val="fj"/>
    <w:basedOn w:val="12"/>
    <w:qFormat/>
    <w:uiPriority w:val="0"/>
    <w:pPr>
      <w:spacing w:after="0" w:afterLines="0" w:line="720" w:lineRule="auto"/>
      <w:ind w:firstLine="0" w:firstLineChars="0"/>
    </w:pPr>
    <w:rPr>
      <w:rFonts w:eastAsia="仿宋_GB2312"/>
      <w:sz w:val="28"/>
      <w:szCs w:val="28"/>
    </w:rPr>
  </w:style>
  <w:style w:type="paragraph" w:customStyle="1" w:styleId="12">
    <w:name w:val="d22"/>
    <w:basedOn w:val="6"/>
    <w:qFormat/>
    <w:uiPriority w:val="0"/>
    <w:pPr>
      <w:spacing w:after="150" w:line="288" w:lineRule="auto"/>
      <w:ind w:firstLine="200" w:firstLineChars="200"/>
      <w:jc w:val="both"/>
    </w:pPr>
    <w:rPr>
      <w:kern w:val="24"/>
    </w:rPr>
  </w:style>
  <w:style w:type="paragraph" w:customStyle="1" w:styleId="13">
    <w:name w:val="d2b"/>
    <w:basedOn w:val="14"/>
    <w:qFormat/>
    <w:uiPriority w:val="0"/>
    <w:pPr>
      <w:spacing w:before="100" w:beforeLines="100" w:after="50" w:afterLines="50" w:line="500" w:lineRule="exact"/>
    </w:pPr>
  </w:style>
  <w:style w:type="paragraph" w:customStyle="1" w:styleId="14">
    <w:name w:val="d1b"/>
    <w:basedOn w:val="1"/>
    <w:qFormat/>
    <w:uiPriority w:val="0"/>
    <w:pPr>
      <w:topLinePunct/>
      <w:adjustRightInd w:val="0"/>
      <w:spacing w:line="720" w:lineRule="auto"/>
      <w:jc w:val="center"/>
    </w:pPr>
    <w:rPr>
      <w:rFonts w:ascii="黑体" w:hAnsi="宋体" w:eastAsia="黑体" w:cs="宋体"/>
      <w:color w:val="000000"/>
      <w:kern w:val="21"/>
      <w:sz w:val="28"/>
      <w:szCs w:val="28"/>
    </w:rPr>
  </w:style>
  <w:style w:type="paragraph" w:customStyle="1" w:styleId="15">
    <w:name w:val="HT"/>
    <w:basedOn w:val="1"/>
    <w:qFormat/>
    <w:uiPriority w:val="0"/>
    <w:pPr>
      <w:topLinePunct/>
      <w:adjustRightInd w:val="0"/>
      <w:spacing w:line="480" w:lineRule="auto"/>
      <w:jc w:val="center"/>
    </w:pPr>
    <w:rPr>
      <w:rFonts w:ascii="黑体" w:hAnsi="宋体" w:eastAsia="黑体" w:cs="宋体"/>
      <w:color w:val="000000"/>
      <w:kern w:val="21"/>
      <w:sz w:val="24"/>
    </w:rPr>
  </w:style>
  <w:style w:type="paragraph" w:customStyle="1" w:styleId="16">
    <w:name w:val="bgg"/>
    <w:basedOn w:val="1"/>
    <w:qFormat/>
    <w:uiPriority w:val="0"/>
    <w:pPr>
      <w:topLinePunct/>
      <w:adjustRightInd w:val="0"/>
      <w:snapToGrid w:val="0"/>
      <w:ind w:left="52" w:leftChars="25" w:right="52" w:rightChars="25"/>
      <w:jc w:val="center"/>
    </w:pPr>
    <w:rPr>
      <w:rFonts w:cs="宋体"/>
      <w:color w:val="000000"/>
      <w:sz w:val="16"/>
      <w:szCs w:val="16"/>
    </w:rPr>
  </w:style>
  <w:style w:type="paragraph" w:customStyle="1" w:styleId="17">
    <w:name w:val="by"/>
    <w:basedOn w:val="16"/>
    <w:qFormat/>
    <w:uiPriority w:val="0"/>
    <w:pPr>
      <w:ind w:firstLine="160" w:firstLineChars="100"/>
      <w:jc w:val="both"/>
    </w:pPr>
  </w:style>
  <w:style w:type="paragraph" w:customStyle="1" w:styleId="18">
    <w:name w:val="正文 New New New New New New New New New New New New New New New New New New New New New New New New New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9">
    <w:name w:val="bB"/>
    <w:basedOn w:val="1"/>
    <w:qFormat/>
    <w:uiPriority w:val="0"/>
    <w:pPr>
      <w:tabs>
        <w:tab w:val="center" w:pos="4200"/>
        <w:tab w:val="center" w:pos="8190"/>
      </w:tabs>
      <w:spacing w:before="126" w:beforeLines="40" w:after="63" w:afterLines="20"/>
      <w:ind w:firstLine="360"/>
    </w:pPr>
    <w:rPr>
      <w:rFonts w:eastAsia="黑体"/>
      <w:sz w:val="18"/>
      <w:szCs w:val="18"/>
    </w:rPr>
  </w:style>
  <w:style w:type="paragraph" w:customStyle="1" w:styleId="20">
    <w:name w:val="bb"/>
    <w:basedOn w:val="1"/>
    <w:qFormat/>
    <w:uiPriority w:val="0"/>
    <w:pPr>
      <w:topLinePunct/>
      <w:adjustRightInd w:val="0"/>
      <w:spacing w:before="130" w:beforeLines="40" w:after="65" w:afterLines="20"/>
      <w:jc w:val="center"/>
    </w:pPr>
    <w:rPr>
      <w:rFonts w:ascii="黑体" w:hAnsi="宋体" w:eastAsia="黑体" w:cs="宋体"/>
      <w:bCs/>
      <w:color w:val="000000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小玉</cp:lastModifiedBy>
  <dcterms:modified xsi:type="dcterms:W3CDTF">2021-12-30T08:56:21Z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625AD850A719462EA984108A5C56FA7E</vt:lpwstr>
  </property>
</Properties>
</file>