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sz w:val="30"/>
          <w:szCs w:val="30"/>
        </w:rPr>
      </w:pPr>
      <w:r>
        <w:rPr>
          <w:sz w:val="30"/>
          <w:szCs w:val="30"/>
        </w:rPr>
        <w:t>直流工程经济效益分析表</w:t>
      </w:r>
    </w:p>
    <w:tbl>
      <w:tblPr>
        <w:tblStyle w:val="4"/>
        <w:tblW w:w="8979" w:type="dxa"/>
        <w:jc w:val="center"/>
        <w:tblInd w:w="10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17"/>
        <w:gridCol w:w="1134"/>
        <w:gridCol w:w="1276"/>
        <w:gridCol w:w="1171"/>
        <w:gridCol w:w="1099"/>
        <w:gridCol w:w="1099"/>
        <w:gridCol w:w="10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hint="eastAsia" w:eastAsia="宋体"/>
                <w:b/>
                <w:color w:val="000000"/>
                <w:sz w:val="22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hint="eastAsia" w:eastAsia="宋体"/>
                <w:b/>
                <w:color w:val="000000"/>
                <w:sz w:val="22"/>
              </w:rPr>
            </w:pPr>
            <w:r>
              <w:rPr>
                <w:rFonts w:hint="eastAsia" w:eastAsia="宋体"/>
                <w:b/>
                <w:color w:val="000000"/>
                <w:sz w:val="22"/>
              </w:rPr>
              <w:t>工程</w:t>
            </w:r>
          </w:p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eastAsia="宋体"/>
                <w:b/>
                <w:color w:val="000000"/>
                <w:sz w:val="22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eastAsia="宋体"/>
                <w:b/>
                <w:color w:val="000000"/>
                <w:sz w:val="22"/>
              </w:rPr>
              <w:t>电压等级（千伏）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eastAsia="宋体"/>
                <w:b/>
                <w:color w:val="000000"/>
                <w:sz w:val="22"/>
              </w:rPr>
              <w:t>输电能力（万千瓦）</w:t>
            </w:r>
          </w:p>
        </w:tc>
        <w:tc>
          <w:tcPr>
            <w:tcW w:w="439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442"/>
              <w:jc w:val="center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hint="eastAsia" w:eastAsia="宋体"/>
                <w:b/>
                <w:color w:val="000000"/>
                <w:sz w:val="22"/>
              </w:rPr>
              <w:t>年平均</w:t>
            </w:r>
            <w:r>
              <w:rPr>
                <w:rFonts w:eastAsia="宋体"/>
                <w:b/>
                <w:color w:val="000000"/>
                <w:sz w:val="22"/>
              </w:rPr>
              <w:t>利用小时数（小时）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2"/>
              <w:jc w:val="center"/>
              <w:rPr>
                <w:rFonts w:eastAsia="宋体"/>
                <w:b/>
                <w:color w:val="00000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2"/>
              <w:jc w:val="center"/>
              <w:rPr>
                <w:rFonts w:eastAsia="宋体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2"/>
              <w:jc w:val="center"/>
              <w:rPr>
                <w:rFonts w:eastAsia="宋体"/>
                <w:b/>
                <w:color w:val="00000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2"/>
              <w:jc w:val="center"/>
              <w:rPr>
                <w:rFonts w:eastAsia="宋体"/>
                <w:b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eastAsia="宋体"/>
                <w:b/>
                <w:color w:val="000000"/>
                <w:sz w:val="22"/>
              </w:rPr>
              <w:t>2014年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eastAsia="宋体"/>
                <w:b/>
                <w:color w:val="000000"/>
                <w:sz w:val="22"/>
              </w:rPr>
              <w:t>2015年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eastAsia="宋体"/>
                <w:b/>
                <w:color w:val="000000"/>
                <w:sz w:val="22"/>
              </w:rPr>
              <w:t>2016年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rPr>
                <w:rFonts w:eastAsia="宋体"/>
                <w:b/>
                <w:color w:val="000000"/>
                <w:sz w:val="22"/>
              </w:rPr>
            </w:pPr>
            <w:r>
              <w:rPr>
                <w:rFonts w:eastAsia="宋体"/>
                <w:b/>
                <w:color w:val="000000"/>
                <w:sz w:val="22"/>
              </w:rPr>
              <w:t>平均值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宁东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±660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7053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7394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7315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7254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云广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5964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5678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5237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贵广二回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5168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5369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5808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锦苏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720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4894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5294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5324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呼辽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5067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5144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4972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hint="eastAsia"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糯扎渡</w:t>
            </w:r>
          </w:p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——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4592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5290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向上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4870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4763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5095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溪洛渡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——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4161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4677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溪浙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——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4157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4592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10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哈郑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——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3136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4033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3585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110" w:firstLineChars="50"/>
              <w:jc w:val="left"/>
              <w:rPr>
                <w:rFonts w:eastAsia="宋体"/>
                <w:color w:val="000000"/>
                <w:sz w:val="22"/>
              </w:rPr>
            </w:pPr>
            <w:r>
              <w:rPr>
                <w:rFonts w:hint="eastAsia" w:eastAsia="宋体"/>
                <w:color w:val="00000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德宝</w:t>
            </w:r>
            <w:r>
              <w:rPr>
                <w:rFonts w:hint="eastAsia" w:eastAsia="宋体"/>
                <w:color w:val="000000"/>
                <w:sz w:val="22"/>
              </w:rPr>
              <w:t>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±500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3320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4092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firstLine="44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2562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ind w:left="0" w:firstLine="0" w:firstLineChars="0"/>
              <w:jc w:val="center"/>
              <w:rPr>
                <w:rFonts w:eastAsia="宋体"/>
                <w:color w:val="000000"/>
                <w:sz w:val="22"/>
              </w:rPr>
            </w:pPr>
            <w:r>
              <w:rPr>
                <w:rFonts w:eastAsia="宋体"/>
                <w:color w:val="000000"/>
                <w:sz w:val="22"/>
              </w:rPr>
              <w:t>3325</w:t>
            </w:r>
          </w:p>
        </w:tc>
      </w:tr>
    </w:tbl>
    <w:p>
      <w:pPr>
        <w:pStyle w:val="5"/>
        <w:ind w:firstLine="0"/>
        <w:jc w:val="both"/>
        <w:rPr>
          <w:rFonts w:ascii="Times New Roman"/>
        </w:rPr>
      </w:pPr>
    </w:p>
    <w:p>
      <w:pPr>
        <w:pStyle w:val="6"/>
        <w:jc w:val="center"/>
        <w:rPr>
          <w:rFonts w:hint="eastAsia"/>
          <w:sz w:val="21"/>
          <w:szCs w:val="21"/>
        </w:rPr>
      </w:pPr>
      <w:r>
        <w:rPr>
          <w:sz w:val="21"/>
          <w:szCs w:val="21"/>
        </w:rPr>
        <w:t>注：</w:t>
      </w:r>
      <w:r>
        <w:rPr>
          <w:rFonts w:hint="eastAsia"/>
          <w:sz w:val="21"/>
          <w:szCs w:val="21"/>
        </w:rPr>
        <w:t xml:space="preserve"> 1. 序号1-5、7、11共7项为“回头看”工程，6、8-10共4项为本次监管核查工程；</w:t>
      </w:r>
    </w:p>
    <w:p>
      <w:pPr>
        <w:pStyle w:val="6"/>
        <w:ind w:firstLine="525" w:firstLineChars="250"/>
      </w:pPr>
      <w:r>
        <w:rPr>
          <w:rFonts w:hint="eastAsia"/>
          <w:sz w:val="21"/>
          <w:szCs w:val="21"/>
        </w:rPr>
        <w:t xml:space="preserve">2. </w:t>
      </w:r>
      <w:r>
        <w:rPr>
          <w:sz w:val="21"/>
          <w:szCs w:val="21"/>
        </w:rPr>
        <w:t>表中平均利用小时数是采用各工程运行效益相对稳定后的数据计算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left="1" w:firstLine="640" w:firstLineChars="200"/>
      <w:jc w:val="both"/>
      <w:textAlignment w:val="bottom"/>
    </w:pPr>
    <w:rPr>
      <w:rFonts w:ascii="Times New Roman" w:hAnsi="Times New Roman" w:eastAsia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ind w:left="0" w:firstLine="200"/>
      <w:jc w:val="left"/>
      <w:textAlignment w:val="auto"/>
      <w:outlineLvl w:val="0"/>
    </w:pPr>
    <w:rPr>
      <w:rFonts w:ascii="宋体" w:hAnsi="宋体" w:eastAsia="黑体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标题"/>
    <w:qFormat/>
    <w:uiPriority w:val="99"/>
    <w:pPr>
      <w:ind w:firstLine="640"/>
      <w:jc w:val="center"/>
    </w:pPr>
    <w:rPr>
      <w:rFonts w:ascii="仿宋_GB2312" w:hAnsi="Times New Roman" w:eastAsia="黑体"/>
      <w:sz w:val="32"/>
      <w:szCs w:val="32"/>
      <w:lang w:val="en-US" w:eastAsia="zh-CN" w:bidi="ar-SA"/>
    </w:rPr>
  </w:style>
  <w:style w:type="paragraph" w:customStyle="1" w:styleId="6">
    <w:name w:val="无格式"/>
    <w:qFormat/>
    <w:uiPriority w:val="0"/>
    <w:pPr>
      <w:spacing w:line="560" w:lineRule="exact"/>
    </w:pPr>
    <w:rPr>
      <w:rFonts w:ascii="Times New Roman" w:hAnsi="Times New Roman" w:eastAsia="仿宋_GB231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2018-04-08T07:55:24Z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