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仿宋_GB2312" w:eastAsia="仿宋_GB2312"/>
          <w:sz w:val="36"/>
          <w:szCs w:val="36"/>
        </w:rPr>
        <w:t>电力现货市场试点地区联系部门表</w:t>
      </w: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9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ind w:firstLine="422" w:firstLineChars="15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sz w:val="28"/>
                <w:szCs w:val="28"/>
              </w:rPr>
              <w:t>试点地区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sz w:val="28"/>
                <w:szCs w:val="28"/>
              </w:rPr>
              <w:t>牵头联系部门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南方（以广东起步）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国家发改委体改司、国家能源局电力司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蒙西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国家能源局新能源司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浙江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国家能源局法改司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山西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国家发改委体改司、国家能源局电力司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山东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国家发改委运行局、基础司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福建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国家能源局市场监管司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四川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国家发改委价格司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甘肃</w:t>
            </w:r>
          </w:p>
        </w:tc>
        <w:tc>
          <w:tcPr>
            <w:tcW w:w="510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国家能源局法改司、国家发改委运行局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2018-12-17T07:13:53Z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