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D7" w:rsidRDefault="00A11A63" w:rsidP="006200E6">
      <w:pPr>
        <w:keepNext/>
        <w:adjustRightInd w:val="0"/>
        <w:snapToGrid w:val="0"/>
        <w:rPr>
          <w:sz w:val="32"/>
          <w:szCs w:val="32"/>
        </w:rPr>
      </w:pPr>
      <w:r>
        <w:rPr>
          <w:rFonts w:hint="eastAsia"/>
          <w:sz w:val="32"/>
          <w:szCs w:val="32"/>
        </w:rPr>
        <w:t>附件</w:t>
      </w:r>
      <w:r>
        <w:rPr>
          <w:rFonts w:hint="eastAsia"/>
          <w:sz w:val="32"/>
          <w:szCs w:val="32"/>
        </w:rPr>
        <w:t>1</w:t>
      </w:r>
      <w:r>
        <w:rPr>
          <w:rFonts w:hint="eastAsia"/>
          <w:sz w:val="32"/>
          <w:szCs w:val="32"/>
        </w:rPr>
        <w:t>：</w:t>
      </w:r>
    </w:p>
    <w:tbl>
      <w:tblPr>
        <w:tblpPr w:leftFromText="180" w:rightFromText="180" w:vertAnchor="page" w:horzAnchor="page" w:tblpXSpec="center" w:tblpY="2388"/>
        <w:tblOverlap w:val="never"/>
        <w:tblW w:w="9964" w:type="dxa"/>
        <w:tblLayout w:type="fixed"/>
        <w:tblCellMar>
          <w:top w:w="15" w:type="dxa"/>
          <w:left w:w="15" w:type="dxa"/>
          <w:bottom w:w="15" w:type="dxa"/>
          <w:right w:w="15" w:type="dxa"/>
        </w:tblCellMar>
        <w:tblLook w:val="04A0"/>
      </w:tblPr>
      <w:tblGrid>
        <w:gridCol w:w="585"/>
        <w:gridCol w:w="2475"/>
        <w:gridCol w:w="1125"/>
        <w:gridCol w:w="331"/>
        <w:gridCol w:w="314"/>
        <w:gridCol w:w="135"/>
        <w:gridCol w:w="47"/>
        <w:gridCol w:w="976"/>
        <w:gridCol w:w="822"/>
        <w:gridCol w:w="210"/>
        <w:gridCol w:w="635"/>
        <w:gridCol w:w="325"/>
        <w:gridCol w:w="570"/>
        <w:gridCol w:w="330"/>
        <w:gridCol w:w="1084"/>
      </w:tblGrid>
      <w:tr w:rsidR="007B19D7" w:rsidTr="0067573A">
        <w:trPr>
          <w:cantSplit/>
          <w:trHeight w:val="570"/>
        </w:trPr>
        <w:tc>
          <w:tcPr>
            <w:tcW w:w="9964" w:type="dxa"/>
            <w:gridSpan w:val="15"/>
            <w:tcBorders>
              <w:bottom w:val="nil"/>
            </w:tcBorders>
            <w:vAlign w:val="center"/>
          </w:tcPr>
          <w:p w:rsidR="007B19D7" w:rsidRDefault="00A11A63">
            <w:pPr>
              <w:widowControl/>
              <w:jc w:val="center"/>
              <w:textAlignment w:val="center"/>
              <w:rPr>
                <w:rFonts w:ascii="SimSun" w:hAnsi="SimSun" w:cs="SimSun"/>
                <w:color w:val="000000"/>
                <w:sz w:val="24"/>
              </w:rPr>
            </w:pPr>
            <w:r>
              <w:rPr>
                <w:rFonts w:ascii="SimSun" w:hAnsi="SimSun" w:cs="SimSun" w:hint="eastAsia"/>
                <w:color w:val="000000"/>
                <w:kern w:val="0"/>
                <w:sz w:val="44"/>
                <w:szCs w:val="44"/>
                <w:u w:val="single"/>
              </w:rPr>
              <w:t xml:space="preserve">       （省/区域）</w:t>
            </w:r>
            <w:r>
              <w:rPr>
                <w:rFonts w:ascii="SimSun" w:hAnsi="SimSun" w:cs="SimSun" w:hint="eastAsia"/>
                <w:color w:val="000000"/>
                <w:kern w:val="0"/>
                <w:sz w:val="44"/>
                <w:szCs w:val="44"/>
              </w:rPr>
              <w:t>电力交易规则</w:t>
            </w:r>
            <w:r>
              <w:rPr>
                <w:rStyle w:val="a7"/>
                <w:rFonts w:ascii="SimSun" w:hAnsi="SimSun" w:cs="SimSun" w:hint="eastAsia"/>
                <w:color w:val="000000"/>
                <w:kern w:val="0"/>
                <w:sz w:val="44"/>
                <w:szCs w:val="44"/>
              </w:rPr>
              <w:footnoteReference w:id="2"/>
            </w:r>
            <w:r>
              <w:rPr>
                <w:rFonts w:ascii="SimSun" w:hAnsi="SimSun" w:cs="SimSun" w:hint="eastAsia"/>
                <w:color w:val="000000"/>
                <w:kern w:val="0"/>
                <w:sz w:val="44"/>
                <w:szCs w:val="44"/>
              </w:rPr>
              <w:t>体系基本情况表</w:t>
            </w:r>
            <w:r>
              <w:rPr>
                <w:rStyle w:val="a7"/>
                <w:rFonts w:ascii="SimSun" w:hAnsi="SimSun" w:cs="SimSun" w:hint="eastAsia"/>
                <w:color w:val="000000"/>
                <w:kern w:val="0"/>
                <w:sz w:val="44"/>
                <w:szCs w:val="44"/>
              </w:rPr>
              <w:footnoteReference w:id="3"/>
            </w:r>
          </w:p>
        </w:tc>
      </w:tr>
      <w:tr w:rsidR="007B19D7" w:rsidTr="0067573A">
        <w:trPr>
          <w:cantSplit/>
          <w:trHeight w:val="279"/>
        </w:trPr>
        <w:tc>
          <w:tcPr>
            <w:tcW w:w="9964" w:type="dxa"/>
            <w:gridSpan w:val="15"/>
            <w:tcBorders>
              <w:top w:val="nil"/>
              <w:left w:val="nil"/>
              <w:bottom w:val="single" w:sz="4" w:space="0" w:color="000000"/>
              <w:right w:val="nil"/>
            </w:tcBorders>
            <w:vAlign w:val="center"/>
          </w:tcPr>
          <w:p w:rsidR="007B19D7" w:rsidRDefault="00A11A63">
            <w:pPr>
              <w:widowControl/>
              <w:textAlignment w:val="center"/>
              <w:rPr>
                <w:rFonts w:ascii="SimSun" w:hAnsi="SimSun" w:cs="SimSun"/>
                <w:color w:val="000000"/>
                <w:kern w:val="0"/>
                <w:sz w:val="18"/>
                <w:szCs w:val="18"/>
              </w:rPr>
            </w:pPr>
            <w:r>
              <w:rPr>
                <w:rFonts w:ascii="SimSun" w:hAnsi="SimSun" w:cs="SimSun" w:hint="eastAsia"/>
                <w:color w:val="000000"/>
                <w:kern w:val="0"/>
                <w:sz w:val="18"/>
                <w:szCs w:val="18"/>
              </w:rPr>
              <w:t xml:space="preserve">填报单位:                         填报时间:                         </w:t>
            </w:r>
          </w:p>
        </w:tc>
      </w:tr>
      <w:tr w:rsidR="007B19D7" w:rsidTr="0067573A">
        <w:trPr>
          <w:cantSplit/>
          <w:trHeight w:val="286"/>
        </w:trPr>
        <w:tc>
          <w:tcPr>
            <w:tcW w:w="585" w:type="dxa"/>
            <w:vMerge w:val="restart"/>
            <w:tcBorders>
              <w:top w:val="single" w:sz="4" w:space="0" w:color="000000"/>
              <w:left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1</w:t>
            </w:r>
          </w:p>
        </w:tc>
        <w:tc>
          <w:tcPr>
            <w:tcW w:w="2475" w:type="dxa"/>
            <w:vMerge w:val="restart"/>
            <w:tcBorders>
              <w:top w:val="single" w:sz="4" w:space="0" w:color="000000"/>
              <w:left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现行交易规则体系</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规则名称</w:t>
            </w: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文号</w:t>
            </w:r>
          </w:p>
        </w:tc>
        <w:tc>
          <w:tcPr>
            <w:tcW w:w="102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制定单位</w:t>
            </w: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批复单位</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印发单位</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印发时间</w:t>
            </w:r>
          </w:p>
        </w:tc>
        <w:tc>
          <w:tcPr>
            <w:tcW w:w="1084" w:type="dxa"/>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监管单位</w:t>
            </w:r>
          </w:p>
        </w:tc>
      </w:tr>
      <w:tr w:rsidR="007B19D7" w:rsidTr="0067573A">
        <w:trPr>
          <w:cantSplit/>
          <w:trHeight w:val="286"/>
        </w:trPr>
        <w:tc>
          <w:tcPr>
            <w:tcW w:w="585" w:type="dxa"/>
            <w:vMerge/>
            <w:tcBorders>
              <w:left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2475" w:type="dxa"/>
            <w:vMerge/>
            <w:tcBorders>
              <w:left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102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vMerge/>
            <w:tcBorders>
              <w:left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2475" w:type="dxa"/>
            <w:vMerge/>
            <w:tcBorders>
              <w:left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102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vMerge/>
            <w:tcBorders>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2475" w:type="dxa"/>
            <w:vMerge/>
            <w:tcBorders>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jc w:val="center"/>
              <w:textAlignment w:val="center"/>
              <w:rPr>
                <w:rFonts w:ascii="SimSun" w:hAnsi="SimSun" w:cs="SimSun"/>
                <w:color w:val="000000"/>
                <w:sz w:val="18"/>
                <w:szCs w:val="18"/>
              </w:rPr>
            </w:pPr>
          </w:p>
        </w:tc>
        <w:tc>
          <w:tcPr>
            <w:tcW w:w="102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2</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交易主体</w:t>
            </w:r>
          </w:p>
        </w:tc>
        <w:tc>
          <w:tcPr>
            <w:tcW w:w="1905"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准入的主体</w:t>
            </w:r>
            <w:r>
              <w:rPr>
                <w:rStyle w:val="a7"/>
                <w:rFonts w:ascii="SimSun" w:hAnsi="SimSun" w:cs="SimSun" w:hint="eastAsia"/>
                <w:color w:val="000000"/>
                <w:kern w:val="0"/>
                <w:sz w:val="18"/>
                <w:szCs w:val="18"/>
              </w:rPr>
              <w:footnoteReference w:id="4"/>
            </w:r>
          </w:p>
        </w:tc>
        <w:tc>
          <w:tcPr>
            <w:tcW w:w="4999" w:type="dxa"/>
            <w:gridSpan w:val="9"/>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905"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放开计划电量购电主体</w:t>
            </w:r>
            <w:r>
              <w:rPr>
                <w:rStyle w:val="a7"/>
                <w:rFonts w:ascii="SimSun" w:hAnsi="SimSun" w:cs="SimSun" w:hint="eastAsia"/>
                <w:color w:val="000000"/>
                <w:kern w:val="0"/>
                <w:sz w:val="18"/>
                <w:szCs w:val="18"/>
              </w:rPr>
              <w:footnoteReference w:id="5"/>
            </w:r>
          </w:p>
        </w:tc>
        <w:tc>
          <w:tcPr>
            <w:tcW w:w="4999" w:type="dxa"/>
            <w:gridSpan w:val="9"/>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3</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交易方式</w:t>
            </w:r>
            <w:r>
              <w:rPr>
                <w:rStyle w:val="a7"/>
                <w:rFonts w:ascii="SimSun" w:hAnsi="SimSun" w:cs="SimSun" w:hint="eastAsia"/>
                <w:color w:val="000000"/>
                <w:kern w:val="0"/>
                <w:sz w:val="18"/>
                <w:szCs w:val="18"/>
              </w:rPr>
              <w:footnoteReference w:id="6"/>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交易周期</w:t>
            </w:r>
            <w:r>
              <w:rPr>
                <w:rStyle w:val="a7"/>
                <w:rFonts w:ascii="SimSun" w:hAnsi="SimSun" w:cs="SimSun" w:hint="eastAsia"/>
                <w:color w:val="000000"/>
                <w:kern w:val="0"/>
                <w:sz w:val="18"/>
                <w:szCs w:val="18"/>
              </w:rPr>
              <w:footnoteReference w:id="7"/>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sz w:val="18"/>
                <w:szCs w:val="18"/>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集中交易出清方式</w:t>
            </w:r>
            <w:r>
              <w:rPr>
                <w:rStyle w:val="a7"/>
                <w:rFonts w:ascii="SimSun" w:hAnsi="SimSun" w:cs="SimSun" w:hint="eastAsia"/>
                <w:color w:val="000000"/>
                <w:kern w:val="0"/>
                <w:sz w:val="18"/>
                <w:szCs w:val="18"/>
              </w:rPr>
              <w:footnoteReference w:id="8"/>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调度安全校核所需时间</w:t>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7</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调度安全校核交易量削减原则</w:t>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440"/>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8</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市场和非市场电量结算顺序</w:t>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390"/>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9</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偏差调整方式</w:t>
            </w:r>
            <w:r>
              <w:rPr>
                <w:rStyle w:val="a7"/>
                <w:rFonts w:ascii="SimSun" w:hAnsi="SimSun" w:cs="SimSun" w:hint="eastAsia"/>
                <w:color w:val="000000"/>
                <w:kern w:val="0"/>
                <w:sz w:val="18"/>
                <w:szCs w:val="18"/>
              </w:rPr>
              <w:footnoteReference w:id="9"/>
            </w:r>
          </w:p>
        </w:tc>
        <w:tc>
          <w:tcPr>
            <w:tcW w:w="1125" w:type="dxa"/>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803" w:type="dxa"/>
            <w:gridSpan w:val="5"/>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累计偏差费用总额</w:t>
            </w:r>
            <w:r>
              <w:rPr>
                <w:rStyle w:val="a7"/>
                <w:rFonts w:ascii="SimSun" w:hAnsi="SimSun" w:cs="SimSun" w:hint="eastAsia"/>
                <w:color w:val="000000"/>
                <w:sz w:val="18"/>
                <w:szCs w:val="18"/>
              </w:rPr>
              <w:footnoteReference w:id="10"/>
            </w:r>
          </w:p>
        </w:tc>
        <w:tc>
          <w:tcPr>
            <w:tcW w:w="822" w:type="dxa"/>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已支出偏差费用用途</w:t>
            </w:r>
            <w:r>
              <w:rPr>
                <w:rStyle w:val="a7"/>
                <w:rFonts w:ascii="SimSun" w:hAnsi="SimSun" w:cs="SimSun" w:hint="eastAsia"/>
                <w:color w:val="000000"/>
                <w:sz w:val="18"/>
                <w:szCs w:val="18"/>
              </w:rPr>
              <w:footnoteReference w:id="11"/>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340"/>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10</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输配电价收取方式</w:t>
            </w:r>
            <w:r>
              <w:rPr>
                <w:rStyle w:val="a7"/>
                <w:rFonts w:ascii="SimSun" w:hAnsi="SimSun" w:cs="SimSun" w:hint="eastAsia"/>
                <w:color w:val="000000"/>
                <w:kern w:val="0"/>
                <w:sz w:val="18"/>
                <w:szCs w:val="18"/>
              </w:rPr>
              <w:footnoteReference w:id="12"/>
            </w:r>
          </w:p>
        </w:tc>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2825" w:type="dxa"/>
            <w:gridSpan w:val="6"/>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网损收取方式</w:t>
            </w:r>
            <w:r>
              <w:rPr>
                <w:rStyle w:val="a7"/>
                <w:rFonts w:ascii="SimSun" w:hAnsi="SimSun" w:cs="SimSun" w:hint="eastAsia"/>
                <w:color w:val="000000"/>
                <w:sz w:val="18"/>
                <w:szCs w:val="18"/>
              </w:rPr>
              <w:footnoteReference w:id="13"/>
            </w:r>
          </w:p>
        </w:tc>
        <w:tc>
          <w:tcPr>
            <w:tcW w:w="2309"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308"/>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11</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限价规定</w:t>
            </w:r>
            <w:r>
              <w:rPr>
                <w:rStyle w:val="a7"/>
                <w:rFonts w:ascii="SimSun" w:hAnsi="SimSun" w:cs="SimSun" w:hint="eastAsia"/>
                <w:color w:val="000000"/>
                <w:kern w:val="0"/>
                <w:sz w:val="18"/>
                <w:szCs w:val="18"/>
              </w:rPr>
              <w:footnoteReference w:id="14"/>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345"/>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各交易</w:t>
            </w:r>
            <w:r w:rsidR="001812E8">
              <w:rPr>
                <w:rFonts w:ascii="SimSun" w:hAnsi="SimSun" w:cs="SimSun" w:hint="eastAsia"/>
                <w:color w:val="000000"/>
                <w:kern w:val="0"/>
                <w:sz w:val="18"/>
                <w:szCs w:val="18"/>
              </w:rPr>
              <w:t>电量</w:t>
            </w:r>
            <w:r>
              <w:rPr>
                <w:rFonts w:ascii="SimSun" w:hAnsi="SimSun" w:cs="SimSun" w:hint="eastAsia"/>
                <w:color w:val="000000"/>
                <w:kern w:val="0"/>
                <w:sz w:val="18"/>
                <w:szCs w:val="18"/>
              </w:rPr>
              <w:t>结算顺序</w:t>
            </w:r>
            <w:r>
              <w:rPr>
                <w:rStyle w:val="a7"/>
                <w:rFonts w:ascii="SimSun" w:hAnsi="SimSun" w:cs="SimSun" w:hint="eastAsia"/>
                <w:color w:val="000000"/>
                <w:kern w:val="0"/>
                <w:sz w:val="18"/>
                <w:szCs w:val="18"/>
              </w:rPr>
              <w:footnoteReference w:id="15"/>
            </w:r>
            <w:r>
              <w:rPr>
                <w:rFonts w:ascii="SimSun" w:hAnsi="SimSun" w:cs="SimSun" w:hint="eastAsia"/>
                <w:color w:val="000000"/>
                <w:kern w:val="0"/>
                <w:sz w:val="18"/>
                <w:szCs w:val="18"/>
              </w:rPr>
              <w:t>（厂侧）</w:t>
            </w:r>
          </w:p>
        </w:tc>
        <w:tc>
          <w:tcPr>
            <w:tcW w:w="1952" w:type="dxa"/>
            <w:gridSpan w:val="5"/>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2643"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A11A63">
            <w:pPr>
              <w:jc w:val="center"/>
              <w:rPr>
                <w:rFonts w:ascii="SimSun" w:hAnsi="SimSun" w:cs="SimSun"/>
                <w:color w:val="000000"/>
                <w:sz w:val="18"/>
                <w:szCs w:val="18"/>
              </w:rPr>
            </w:pPr>
            <w:r>
              <w:rPr>
                <w:rFonts w:ascii="SimSun" w:hAnsi="SimSun" w:cs="SimSun" w:hint="eastAsia"/>
                <w:color w:val="000000"/>
                <w:sz w:val="18"/>
                <w:szCs w:val="18"/>
              </w:rPr>
              <w:t>各交易</w:t>
            </w:r>
            <w:r w:rsidR="001812E8">
              <w:rPr>
                <w:rFonts w:ascii="SimSun" w:hAnsi="SimSun" w:cs="SimSun" w:hint="eastAsia"/>
                <w:color w:val="000000"/>
                <w:sz w:val="18"/>
                <w:szCs w:val="18"/>
              </w:rPr>
              <w:t>电量</w:t>
            </w:r>
            <w:r>
              <w:rPr>
                <w:rFonts w:ascii="SimSun" w:hAnsi="SimSun" w:cs="SimSun" w:hint="eastAsia"/>
                <w:color w:val="000000"/>
                <w:sz w:val="18"/>
                <w:szCs w:val="18"/>
              </w:rPr>
              <w:t>结算顺序（用户侧）</w:t>
            </w:r>
          </w:p>
        </w:tc>
        <w:tc>
          <w:tcPr>
            <w:tcW w:w="2309"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345"/>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13</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退出市场用户执行电价水平</w:t>
            </w:r>
          </w:p>
        </w:tc>
        <w:tc>
          <w:tcPr>
            <w:tcW w:w="1952" w:type="dxa"/>
            <w:gridSpan w:val="5"/>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c>
          <w:tcPr>
            <w:tcW w:w="2643"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A11A63">
            <w:pPr>
              <w:rPr>
                <w:rFonts w:ascii="SimSun" w:hAnsi="SimSun" w:cs="SimSun"/>
                <w:color w:val="000000"/>
                <w:sz w:val="18"/>
                <w:szCs w:val="18"/>
              </w:rPr>
            </w:pPr>
            <w:r>
              <w:rPr>
                <w:rFonts w:ascii="SimSun" w:hAnsi="SimSun" w:cs="SimSun" w:hint="eastAsia"/>
                <w:color w:val="000000"/>
                <w:sz w:val="18"/>
                <w:szCs w:val="18"/>
              </w:rPr>
              <w:t>市场用户是否全电量参加交易</w:t>
            </w:r>
            <w:r>
              <w:rPr>
                <w:rStyle w:val="a7"/>
                <w:rFonts w:ascii="SimSun" w:hAnsi="SimSun" w:cs="SimSun" w:hint="eastAsia"/>
                <w:color w:val="000000"/>
                <w:sz w:val="18"/>
                <w:szCs w:val="18"/>
              </w:rPr>
              <w:footnoteReference w:id="16"/>
            </w:r>
          </w:p>
        </w:tc>
        <w:tc>
          <w:tcPr>
            <w:tcW w:w="2309"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r w:rsidR="007B19D7" w:rsidTr="0067573A">
        <w:trPr>
          <w:cantSplit/>
          <w:trHeight w:val="286"/>
        </w:trPr>
        <w:tc>
          <w:tcPr>
            <w:tcW w:w="58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14</w:t>
            </w:r>
          </w:p>
        </w:tc>
        <w:tc>
          <w:tcPr>
            <w:tcW w:w="247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jc w:val="center"/>
              <w:textAlignment w:val="center"/>
              <w:rPr>
                <w:rFonts w:ascii="SimSun" w:hAnsi="SimSun" w:cs="SimSun"/>
                <w:color w:val="000000"/>
                <w:sz w:val="18"/>
                <w:szCs w:val="18"/>
              </w:rPr>
            </w:pPr>
            <w:r>
              <w:rPr>
                <w:rFonts w:ascii="SimSun" w:hAnsi="SimSun" w:cs="SimSun" w:hint="eastAsia"/>
                <w:color w:val="000000"/>
                <w:kern w:val="0"/>
                <w:sz w:val="18"/>
                <w:szCs w:val="18"/>
              </w:rPr>
              <w:t>必须开（停）机组价格机制</w:t>
            </w:r>
            <w:r>
              <w:rPr>
                <w:rStyle w:val="a7"/>
                <w:rFonts w:ascii="SimSun" w:hAnsi="SimSun" w:cs="SimSun" w:hint="eastAsia"/>
                <w:color w:val="000000"/>
                <w:kern w:val="0"/>
                <w:sz w:val="18"/>
                <w:szCs w:val="18"/>
              </w:rPr>
              <w:footnoteReference w:id="17"/>
            </w:r>
          </w:p>
        </w:tc>
        <w:tc>
          <w:tcPr>
            <w:tcW w:w="6904" w:type="dxa"/>
            <w:gridSpan w:val="13"/>
            <w:tcBorders>
              <w:top w:val="single" w:sz="4" w:space="0" w:color="000000"/>
              <w:left w:val="single" w:sz="4" w:space="0" w:color="000000"/>
              <w:bottom w:val="single" w:sz="4" w:space="0" w:color="000000"/>
              <w:right w:val="single" w:sz="4" w:space="0" w:color="000000"/>
            </w:tcBorders>
            <w:vAlign w:val="center"/>
          </w:tcPr>
          <w:p w:rsidR="007B19D7" w:rsidRDefault="007B19D7">
            <w:pPr>
              <w:jc w:val="center"/>
              <w:rPr>
                <w:rFonts w:ascii="SimSun" w:hAnsi="SimSun" w:cs="SimSun"/>
                <w:color w:val="000000"/>
                <w:sz w:val="18"/>
                <w:szCs w:val="18"/>
              </w:rPr>
            </w:pPr>
          </w:p>
        </w:tc>
      </w:tr>
    </w:tbl>
    <w:p w:rsidR="007B19D7" w:rsidRDefault="007B19D7"/>
    <w:p w:rsidR="007B19D7" w:rsidRDefault="00A11A63">
      <w:pPr>
        <w:rPr>
          <w:sz w:val="32"/>
          <w:szCs w:val="32"/>
        </w:rPr>
      </w:pPr>
      <w:r>
        <w:rPr>
          <w:rFonts w:hint="eastAsia"/>
          <w:sz w:val="32"/>
          <w:szCs w:val="32"/>
        </w:rPr>
        <w:lastRenderedPageBreak/>
        <w:t>附件</w:t>
      </w:r>
      <w:r>
        <w:rPr>
          <w:rFonts w:hint="eastAsia"/>
          <w:sz w:val="32"/>
          <w:szCs w:val="32"/>
        </w:rPr>
        <w:t>2</w:t>
      </w:r>
      <w:r>
        <w:rPr>
          <w:rFonts w:hint="eastAsia"/>
          <w:sz w:val="32"/>
          <w:szCs w:val="32"/>
        </w:rPr>
        <w:t>：</w:t>
      </w:r>
    </w:p>
    <w:tbl>
      <w:tblPr>
        <w:tblW w:w="9892" w:type="dxa"/>
        <w:jc w:val="center"/>
        <w:tblLayout w:type="fixed"/>
        <w:tblCellMar>
          <w:top w:w="15" w:type="dxa"/>
          <w:left w:w="15" w:type="dxa"/>
          <w:bottom w:w="15" w:type="dxa"/>
          <w:right w:w="15" w:type="dxa"/>
        </w:tblCellMar>
        <w:tblLook w:val="04A0"/>
      </w:tblPr>
      <w:tblGrid>
        <w:gridCol w:w="327"/>
        <w:gridCol w:w="1694"/>
        <w:gridCol w:w="431"/>
        <w:gridCol w:w="1583"/>
        <w:gridCol w:w="1174"/>
        <w:gridCol w:w="408"/>
        <w:gridCol w:w="524"/>
        <w:gridCol w:w="670"/>
        <w:gridCol w:w="813"/>
        <w:gridCol w:w="1218"/>
        <w:gridCol w:w="1050"/>
      </w:tblGrid>
      <w:tr w:rsidR="007B19D7" w:rsidTr="001812E8">
        <w:trPr>
          <w:trHeight w:val="286"/>
          <w:jc w:val="center"/>
        </w:trPr>
        <w:tc>
          <w:tcPr>
            <w:tcW w:w="9892" w:type="dxa"/>
            <w:gridSpan w:val="11"/>
            <w:tcBorders>
              <w:bottom w:val="nil"/>
            </w:tcBorders>
            <w:vAlign w:val="center"/>
          </w:tcPr>
          <w:p w:rsidR="007B19D7" w:rsidRDefault="00A11A63">
            <w:pPr>
              <w:widowControl/>
              <w:jc w:val="center"/>
              <w:textAlignment w:val="center"/>
              <w:rPr>
                <w:rFonts w:ascii="SimSun" w:hAnsi="SimSun" w:cs="SimSun"/>
                <w:color w:val="000000"/>
                <w:sz w:val="24"/>
              </w:rPr>
            </w:pPr>
            <w:r>
              <w:rPr>
                <w:rFonts w:ascii="SimSun" w:hAnsi="SimSun" w:cs="SimSun" w:hint="eastAsia"/>
                <w:color w:val="000000"/>
                <w:kern w:val="0"/>
                <w:sz w:val="36"/>
                <w:szCs w:val="36"/>
              </w:rPr>
              <w:t>固定周期市场内交易品种详表</w:t>
            </w:r>
            <w:r>
              <w:rPr>
                <w:rStyle w:val="a7"/>
                <w:rFonts w:ascii="SimSun" w:hAnsi="SimSun" w:cs="SimSun" w:hint="eastAsia"/>
                <w:color w:val="000000"/>
                <w:kern w:val="0"/>
                <w:sz w:val="36"/>
                <w:szCs w:val="36"/>
              </w:rPr>
              <w:footnoteReference w:id="18"/>
            </w:r>
            <w:r>
              <w:rPr>
                <w:rFonts w:ascii="SimSun" w:hAnsi="SimSun" w:cs="SimSun" w:hint="eastAsia"/>
                <w:color w:val="000000"/>
                <w:kern w:val="0"/>
                <w:sz w:val="36"/>
                <w:szCs w:val="36"/>
              </w:rPr>
              <w:t>X</w:t>
            </w:r>
          </w:p>
        </w:tc>
      </w:tr>
      <w:tr w:rsidR="007B19D7" w:rsidTr="001812E8">
        <w:trPr>
          <w:cantSplit/>
          <w:trHeight w:val="302"/>
          <w:jc w:val="center"/>
        </w:trPr>
        <w:tc>
          <w:tcPr>
            <w:tcW w:w="9892" w:type="dxa"/>
            <w:gridSpan w:val="11"/>
            <w:tcBorders>
              <w:top w:val="nil"/>
              <w:left w:val="nil"/>
              <w:bottom w:val="single" w:sz="4" w:space="0" w:color="000000"/>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 xml:space="preserve">填报单位：            填报时间：            </w:t>
            </w:r>
            <w:r w:rsidR="001A24BE">
              <w:rPr>
                <w:rFonts w:ascii="SimSun" w:eastAsiaTheme="minorEastAsia" w:hAnsi="SimSun" w:cs="SimSun" w:hint="eastAsia"/>
                <w:color w:val="000000"/>
                <w:kern w:val="0"/>
                <w:sz w:val="18"/>
                <w:szCs w:val="18"/>
              </w:rPr>
              <w:t>规则</w:t>
            </w:r>
            <w:r>
              <w:rPr>
                <w:rFonts w:ascii="SimSun" w:hAnsi="SimSun" w:cs="SimSun" w:hint="eastAsia"/>
                <w:color w:val="000000"/>
                <w:kern w:val="0"/>
                <w:sz w:val="18"/>
                <w:szCs w:val="18"/>
              </w:rPr>
              <w:t xml:space="preserve">实施时间：     </w:t>
            </w:r>
          </w:p>
        </w:tc>
      </w:tr>
      <w:tr w:rsidR="007B19D7" w:rsidTr="001812E8">
        <w:trPr>
          <w:cantSplit/>
          <w:trHeight w:val="23"/>
          <w:jc w:val="center"/>
        </w:trPr>
        <w:tc>
          <w:tcPr>
            <w:tcW w:w="327"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1</w:t>
            </w:r>
          </w:p>
        </w:tc>
        <w:tc>
          <w:tcPr>
            <w:tcW w:w="1694"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交易品种名称</w:t>
            </w:r>
          </w:p>
        </w:tc>
        <w:tc>
          <w:tcPr>
            <w:tcW w:w="3188"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交易标的</w:t>
            </w:r>
          </w:p>
        </w:tc>
        <w:tc>
          <w:tcPr>
            <w:tcW w:w="3751" w:type="dxa"/>
            <w:gridSpan w:val="4"/>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rsidTr="001812E8">
        <w:trPr>
          <w:cantSplit/>
          <w:trHeight w:val="23"/>
          <w:jc w:val="center"/>
        </w:trPr>
        <w:tc>
          <w:tcPr>
            <w:tcW w:w="327"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2</w:t>
            </w:r>
          </w:p>
        </w:tc>
        <w:tc>
          <w:tcPr>
            <w:tcW w:w="1694"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是否连续交易</w:t>
            </w:r>
            <w:r>
              <w:rPr>
                <w:rStyle w:val="a7"/>
                <w:rFonts w:ascii="SimSun" w:hAnsi="SimSun" w:cs="SimSun" w:hint="eastAsia"/>
                <w:color w:val="000000"/>
                <w:kern w:val="0"/>
                <w:sz w:val="18"/>
                <w:szCs w:val="18"/>
              </w:rPr>
              <w:footnoteReference w:id="19"/>
            </w:r>
          </w:p>
        </w:tc>
        <w:tc>
          <w:tcPr>
            <w:tcW w:w="7871" w:type="dxa"/>
            <w:gridSpan w:val="9"/>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3</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年度</w:t>
            </w:r>
          </w:p>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开市时间</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4</w:t>
            </w:r>
          </w:p>
        </w:tc>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月度</w:t>
            </w:r>
          </w:p>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w:t>
            </w: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开市时间</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卖方</w:t>
            </w:r>
            <w:r>
              <w:rPr>
                <w:rStyle w:val="a7"/>
                <w:rFonts w:ascii="SimSun" w:hAnsi="SimSun" w:cs="SimSun" w:hint="eastAsia"/>
                <w:color w:val="000000"/>
                <w:kern w:val="0"/>
                <w:sz w:val="18"/>
                <w:szCs w:val="18"/>
              </w:rPr>
              <w:footnoteReference w:id="20"/>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卖方</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买方</w:t>
            </w:r>
            <w:r>
              <w:rPr>
                <w:rStyle w:val="a7"/>
                <w:rFonts w:ascii="SimSun" w:hAnsi="SimSun" w:cs="SimSun" w:hint="eastAsia"/>
                <w:color w:val="000000"/>
                <w:kern w:val="0"/>
                <w:sz w:val="18"/>
                <w:szCs w:val="18"/>
              </w:rPr>
              <w:footnoteReference w:id="21"/>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买方</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交易额度确定方式及主体</w:t>
            </w:r>
            <w:r>
              <w:rPr>
                <w:rStyle w:val="a7"/>
                <w:rFonts w:ascii="SimSun" w:hAnsi="SimSun" w:cs="SimSun" w:hint="eastAsia"/>
                <w:color w:val="000000"/>
                <w:kern w:val="0"/>
                <w:sz w:val="18"/>
                <w:szCs w:val="18"/>
              </w:rPr>
              <w:footnoteReference w:id="22"/>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交易额度确定方式及主体</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交易方式</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集中交易出清方式</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集中交易出清方式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限价</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限价</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安全校核所需时间</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安全校核所需时间</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安全校核削减合同原则</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安全校核削减合同原则</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结算周期</w:t>
            </w:r>
            <w:r>
              <w:rPr>
                <w:rStyle w:val="a7"/>
                <w:rFonts w:ascii="SimSun" w:hAnsi="SimSun" w:cs="SimSun" w:hint="eastAsia"/>
                <w:color w:val="000000"/>
                <w:kern w:val="0"/>
                <w:sz w:val="18"/>
                <w:szCs w:val="18"/>
              </w:rPr>
              <w:footnoteReference w:id="23"/>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结算周期</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输配电价收取方式</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输配电价收取方式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5</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周或</w:t>
            </w:r>
          </w:p>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日交易</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开市时间</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6</w:t>
            </w:r>
          </w:p>
        </w:tc>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日内</w:t>
            </w:r>
            <w:r>
              <w:rPr>
                <w:rStyle w:val="a7"/>
                <w:rFonts w:ascii="SimSun" w:hAnsi="SimSun" w:cs="SimSun" w:hint="eastAsia"/>
                <w:color w:val="000000"/>
                <w:kern w:val="0"/>
                <w:sz w:val="18"/>
                <w:szCs w:val="18"/>
              </w:rPr>
              <w:footnoteReference w:id="24"/>
            </w:r>
          </w:p>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w:t>
            </w: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开市时间</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卖方</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卖方</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买方</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买方</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交易额度确定方式及主体</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交易额度确定方式及主体</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交易方式</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交易方式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集中交易出清方式</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集中交易出清方式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限价</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限价</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安全校核所需时间</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安全校核所需时间</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安全校核削减合同原则</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安全校核削减合同原则</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结算周期</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结算周期</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输配电价收取方式</w:t>
            </w:r>
          </w:p>
        </w:tc>
        <w:tc>
          <w:tcPr>
            <w:tcW w:w="1174"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932" w:type="dxa"/>
            <w:gridSpan w:val="2"/>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输配电价收取方式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rPr>
                <w:rFonts w:ascii="SimSun" w:hAnsi="SimSun" w:cs="SimSun"/>
                <w:color w:val="000000"/>
                <w:sz w:val="18"/>
                <w:szCs w:val="18"/>
              </w:rPr>
            </w:pPr>
          </w:p>
        </w:tc>
      </w:tr>
      <w:tr w:rsidR="007B19D7" w:rsidTr="001812E8">
        <w:trPr>
          <w:cantSplit/>
          <w:trHeight w:val="208"/>
          <w:jc w:val="center"/>
        </w:trPr>
        <w:tc>
          <w:tcPr>
            <w:tcW w:w="327"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7</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left"/>
              <w:textAlignment w:val="center"/>
              <w:rPr>
                <w:rFonts w:ascii="SimSun" w:hAnsi="SimSun" w:cs="SimSun"/>
                <w:color w:val="000000"/>
                <w:sz w:val="18"/>
                <w:szCs w:val="18"/>
              </w:rPr>
            </w:pPr>
            <w:r>
              <w:rPr>
                <w:rFonts w:ascii="SimSun" w:hAnsi="SimSun" w:cs="SimSun" w:hint="eastAsia"/>
                <w:color w:val="000000"/>
                <w:sz w:val="18"/>
                <w:szCs w:val="18"/>
              </w:rPr>
              <w:t>交易前信息披露内容</w:t>
            </w:r>
          </w:p>
        </w:tc>
        <w:tc>
          <w:tcPr>
            <w:tcW w:w="43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具体内容</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方式</w:t>
            </w:r>
            <w:r>
              <w:rPr>
                <w:rStyle w:val="a7"/>
                <w:rFonts w:ascii="SimSun" w:hAnsi="SimSun" w:cs="SimSun" w:hint="eastAsia"/>
                <w:color w:val="000000"/>
                <w:sz w:val="18"/>
                <w:szCs w:val="18"/>
              </w:rPr>
              <w:footnoteReference w:id="25"/>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对象范围</w:t>
            </w:r>
            <w:r>
              <w:rPr>
                <w:rStyle w:val="a7"/>
                <w:rFonts w:ascii="SimSun" w:hAnsi="SimSun" w:cs="SimSun" w:hint="eastAsia"/>
                <w:color w:val="000000"/>
                <w:sz w:val="18"/>
                <w:szCs w:val="18"/>
              </w:rPr>
              <w:footnoteReference w:id="26"/>
            </w:r>
          </w:p>
        </w:tc>
      </w:tr>
      <w:tr w:rsidR="007B19D7" w:rsidTr="001812E8">
        <w:trPr>
          <w:cantSplit/>
          <w:trHeight w:val="168"/>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43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1</w:t>
            </w: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rsidTr="001812E8">
        <w:trPr>
          <w:cantSplit/>
          <w:trHeight w:val="240"/>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w:t>
            </w: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rsidTr="001812E8">
        <w:trPr>
          <w:cantSplit/>
          <w:trHeight w:val="243"/>
          <w:jc w:val="center"/>
        </w:trPr>
        <w:tc>
          <w:tcPr>
            <w:tcW w:w="327"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textAlignment w:val="center"/>
              <w:rPr>
                <w:rFonts w:ascii="SimSun" w:hAnsi="SimSun" w:cs="SimSun"/>
                <w:color w:val="000000"/>
                <w:kern w:val="0"/>
                <w:sz w:val="18"/>
                <w:szCs w:val="18"/>
              </w:rPr>
            </w:pPr>
            <w:r>
              <w:rPr>
                <w:rFonts w:ascii="SimSun" w:hAnsi="SimSun" w:cs="SimSun" w:hint="eastAsia"/>
                <w:color w:val="000000"/>
                <w:kern w:val="0"/>
                <w:sz w:val="18"/>
                <w:szCs w:val="18"/>
              </w:rPr>
              <w:t>8</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left"/>
              <w:textAlignment w:val="center"/>
              <w:rPr>
                <w:rFonts w:ascii="SimSun" w:hAnsi="SimSun" w:cs="SimSun"/>
                <w:color w:val="000000"/>
                <w:kern w:val="0"/>
                <w:sz w:val="18"/>
                <w:szCs w:val="18"/>
              </w:rPr>
            </w:pPr>
            <w:r>
              <w:rPr>
                <w:rFonts w:ascii="SimSun" w:hAnsi="SimSun" w:cs="SimSun" w:hint="eastAsia"/>
                <w:color w:val="000000"/>
                <w:kern w:val="0"/>
                <w:sz w:val="18"/>
                <w:szCs w:val="18"/>
              </w:rPr>
              <w:t>交易后信息披露内容</w:t>
            </w:r>
          </w:p>
        </w:tc>
        <w:tc>
          <w:tcPr>
            <w:tcW w:w="43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具体内容</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方式</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对象范围</w:t>
            </w:r>
          </w:p>
        </w:tc>
      </w:tr>
      <w:tr w:rsidR="007B19D7" w:rsidTr="001812E8">
        <w:trPr>
          <w:cantSplit/>
          <w:trHeight w:val="24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43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pPr>
            <w:r>
              <w:rPr>
                <w:rFonts w:ascii="SimSun" w:hAnsi="SimSun" w:cs="SimSun" w:hint="eastAsia"/>
                <w:color w:val="000000"/>
                <w:sz w:val="18"/>
                <w:szCs w:val="18"/>
              </w:rPr>
              <w:t>1</w:t>
            </w: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r>
      <w:tr w:rsidR="007B19D7" w:rsidTr="001812E8">
        <w:trPr>
          <w:cantSplit/>
          <w:trHeight w:val="243"/>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43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pPr>
            <w:r>
              <w:rPr>
                <w:rFonts w:ascii="SimSun" w:hAnsi="SimSun" w:cs="SimSun" w:hint="eastAsia"/>
                <w:color w:val="000000"/>
                <w:sz w:val="18"/>
                <w:szCs w:val="18"/>
              </w:rPr>
              <w:t>……</w:t>
            </w: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pPr>
          </w:p>
        </w:tc>
      </w:tr>
    </w:tbl>
    <w:p w:rsidR="007B19D7" w:rsidRDefault="007B19D7"/>
    <w:p w:rsidR="007B19D7" w:rsidRDefault="00A11A63">
      <w:pPr>
        <w:rPr>
          <w:sz w:val="32"/>
          <w:szCs w:val="32"/>
        </w:rPr>
      </w:pPr>
      <w:r>
        <w:rPr>
          <w:rFonts w:hint="eastAsia"/>
          <w:sz w:val="32"/>
          <w:szCs w:val="32"/>
        </w:rPr>
        <w:lastRenderedPageBreak/>
        <w:t>附件</w:t>
      </w:r>
      <w:r>
        <w:rPr>
          <w:rFonts w:hint="eastAsia"/>
          <w:sz w:val="32"/>
          <w:szCs w:val="32"/>
        </w:rPr>
        <w:t>3</w:t>
      </w:r>
      <w:r>
        <w:rPr>
          <w:rFonts w:hint="eastAsia"/>
          <w:sz w:val="32"/>
          <w:szCs w:val="32"/>
        </w:rPr>
        <w:t>：</w:t>
      </w:r>
    </w:p>
    <w:p w:rsidR="007B19D7" w:rsidRDefault="00A11A63">
      <w:pPr>
        <w:widowControl/>
        <w:jc w:val="center"/>
        <w:textAlignment w:val="center"/>
        <w:rPr>
          <w:rFonts w:ascii="SimSun" w:hAnsi="SimSun" w:cs="SimSun"/>
          <w:color w:val="000000"/>
          <w:kern w:val="0"/>
          <w:sz w:val="36"/>
          <w:szCs w:val="36"/>
        </w:rPr>
      </w:pPr>
      <w:r>
        <w:rPr>
          <w:rFonts w:ascii="SimSun" w:hAnsi="SimSun" w:cs="SimSun" w:hint="eastAsia"/>
          <w:color w:val="000000"/>
          <w:kern w:val="0"/>
          <w:sz w:val="36"/>
          <w:szCs w:val="36"/>
        </w:rPr>
        <w:t>非固定周期市场内交易品种</w:t>
      </w:r>
      <w:r>
        <w:rPr>
          <w:rStyle w:val="a7"/>
          <w:rFonts w:ascii="SimSun" w:hAnsi="SimSun" w:cs="SimSun" w:hint="eastAsia"/>
          <w:color w:val="000000"/>
          <w:kern w:val="0"/>
          <w:sz w:val="36"/>
          <w:szCs w:val="36"/>
        </w:rPr>
        <w:footnoteReference w:id="27"/>
      </w:r>
      <w:r>
        <w:rPr>
          <w:rFonts w:ascii="SimSun" w:hAnsi="SimSun" w:cs="SimSun" w:hint="eastAsia"/>
          <w:color w:val="000000"/>
          <w:kern w:val="0"/>
          <w:sz w:val="36"/>
          <w:szCs w:val="36"/>
        </w:rPr>
        <w:t>详表</w:t>
      </w:r>
    </w:p>
    <w:tbl>
      <w:tblPr>
        <w:tblW w:w="8532" w:type="dxa"/>
        <w:jc w:val="center"/>
        <w:tblLayout w:type="fixed"/>
        <w:tblCellMar>
          <w:top w:w="15" w:type="dxa"/>
          <w:left w:w="15" w:type="dxa"/>
          <w:bottom w:w="15" w:type="dxa"/>
          <w:right w:w="15" w:type="dxa"/>
        </w:tblCellMar>
        <w:tblLook w:val="04A0"/>
      </w:tblPr>
      <w:tblGrid>
        <w:gridCol w:w="411"/>
        <w:gridCol w:w="453"/>
        <w:gridCol w:w="405"/>
        <w:gridCol w:w="441"/>
        <w:gridCol w:w="441"/>
        <w:gridCol w:w="465"/>
        <w:gridCol w:w="519"/>
        <w:gridCol w:w="663"/>
        <w:gridCol w:w="148"/>
        <w:gridCol w:w="625"/>
        <w:gridCol w:w="750"/>
        <w:gridCol w:w="610"/>
        <w:gridCol w:w="405"/>
        <w:gridCol w:w="278"/>
        <w:gridCol w:w="1162"/>
        <w:gridCol w:w="756"/>
      </w:tblGrid>
      <w:tr w:rsidR="007B19D7">
        <w:trPr>
          <w:cantSplit/>
          <w:trHeight w:val="23"/>
          <w:jc w:val="center"/>
        </w:trPr>
        <w:tc>
          <w:tcPr>
            <w:tcW w:w="3946" w:type="dxa"/>
            <w:gridSpan w:val="9"/>
            <w:tcBorders>
              <w:top w:val="nil"/>
              <w:left w:val="nil"/>
              <w:bottom w:val="nil"/>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填报单位：</w:t>
            </w:r>
          </w:p>
        </w:tc>
        <w:tc>
          <w:tcPr>
            <w:tcW w:w="2390" w:type="dxa"/>
            <w:gridSpan w:val="4"/>
            <w:tcBorders>
              <w:top w:val="nil"/>
              <w:left w:val="nil"/>
              <w:bottom w:val="nil"/>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填报时间：</w:t>
            </w:r>
          </w:p>
        </w:tc>
        <w:tc>
          <w:tcPr>
            <w:tcW w:w="1440" w:type="dxa"/>
            <w:gridSpan w:val="2"/>
            <w:tcBorders>
              <w:top w:val="nil"/>
              <w:left w:val="nil"/>
              <w:bottom w:val="nil"/>
              <w:right w:val="nil"/>
            </w:tcBorders>
            <w:vAlign w:val="center"/>
          </w:tcPr>
          <w:p w:rsidR="007B19D7" w:rsidRDefault="007B19D7">
            <w:pPr>
              <w:widowControl/>
              <w:adjustRightInd w:val="0"/>
              <w:snapToGrid w:val="0"/>
              <w:jc w:val="center"/>
              <w:rPr>
                <w:rFonts w:ascii="SimSun" w:hAnsi="SimSun" w:cs="SimSun"/>
                <w:color w:val="000000"/>
                <w:sz w:val="18"/>
                <w:szCs w:val="18"/>
              </w:rPr>
            </w:pPr>
          </w:p>
        </w:tc>
        <w:tc>
          <w:tcPr>
            <w:tcW w:w="756" w:type="dxa"/>
            <w:tcBorders>
              <w:top w:val="nil"/>
              <w:left w:val="nil"/>
              <w:bottom w:val="nil"/>
              <w:right w:val="nil"/>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23"/>
          <w:jc w:val="center"/>
        </w:trPr>
        <w:tc>
          <w:tcPr>
            <w:tcW w:w="1710" w:type="dxa"/>
            <w:gridSpan w:val="4"/>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425" w:type="dxa"/>
            <w:gridSpan w:val="3"/>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811" w:type="dxa"/>
            <w:gridSpan w:val="2"/>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985" w:type="dxa"/>
            <w:gridSpan w:val="3"/>
            <w:tcBorders>
              <w:top w:val="nil"/>
              <w:left w:val="nil"/>
              <w:bottom w:val="single" w:sz="4" w:space="0" w:color="000000"/>
              <w:right w:val="nil"/>
            </w:tcBorders>
            <w:vAlign w:val="center"/>
          </w:tcPr>
          <w:p w:rsidR="007B19D7" w:rsidRDefault="007B19D7">
            <w:pPr>
              <w:widowControl/>
              <w:adjustRightInd w:val="0"/>
              <w:snapToGrid w:val="0"/>
              <w:rPr>
                <w:rFonts w:ascii="SimSun" w:hAnsi="SimSun" w:cs="SimSun"/>
                <w:color w:val="000000"/>
                <w:sz w:val="18"/>
                <w:szCs w:val="18"/>
              </w:rPr>
            </w:pPr>
          </w:p>
        </w:tc>
        <w:tc>
          <w:tcPr>
            <w:tcW w:w="405" w:type="dxa"/>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440" w:type="dxa"/>
            <w:gridSpan w:val="2"/>
            <w:tcBorders>
              <w:top w:val="nil"/>
              <w:left w:val="nil"/>
              <w:bottom w:val="single" w:sz="4" w:space="0" w:color="000000"/>
              <w:right w:val="nil"/>
            </w:tcBorders>
            <w:vAlign w:val="center"/>
          </w:tcPr>
          <w:p w:rsidR="007B19D7" w:rsidRDefault="007B19D7">
            <w:pPr>
              <w:widowControl/>
              <w:adjustRightInd w:val="0"/>
              <w:snapToGrid w:val="0"/>
              <w:jc w:val="center"/>
              <w:rPr>
                <w:rFonts w:ascii="SimSun" w:hAnsi="SimSun" w:cs="SimSun"/>
                <w:color w:val="000000"/>
                <w:sz w:val="18"/>
                <w:szCs w:val="18"/>
              </w:rPr>
            </w:pPr>
          </w:p>
        </w:tc>
        <w:tc>
          <w:tcPr>
            <w:tcW w:w="756" w:type="dxa"/>
            <w:tcBorders>
              <w:top w:val="nil"/>
              <w:left w:val="nil"/>
              <w:bottom w:val="single" w:sz="4" w:space="0" w:color="000000"/>
              <w:right w:val="nil"/>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实际组织时间</w:t>
            </w: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w:t>
            </w:r>
          </w:p>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名称</w:t>
            </w: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交易标的</w:t>
            </w: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买方</w:t>
            </w: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卖方</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交易额度确定方式及主体</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交易方式</w:t>
            </w:r>
          </w:p>
        </w:tc>
        <w:tc>
          <w:tcPr>
            <w:tcW w:w="750"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限价</w:t>
            </w:r>
          </w:p>
        </w:tc>
        <w:tc>
          <w:tcPr>
            <w:tcW w:w="1293"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结算周期</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依据规则名称</w:t>
            </w: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1</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293"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293"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3</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293"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293"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293" w:type="dxa"/>
            <w:gridSpan w:val="3"/>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bl>
    <w:p w:rsidR="007B19D7" w:rsidRDefault="00A11A63">
      <w:pPr>
        <w:rPr>
          <w:sz w:val="32"/>
          <w:szCs w:val="32"/>
        </w:rPr>
      </w:pPr>
      <w:r>
        <w:rPr>
          <w:rFonts w:hint="eastAsia"/>
          <w:sz w:val="32"/>
          <w:szCs w:val="32"/>
        </w:rPr>
        <w:t>附件</w:t>
      </w:r>
      <w:r>
        <w:rPr>
          <w:rFonts w:hint="eastAsia"/>
          <w:sz w:val="32"/>
          <w:szCs w:val="32"/>
        </w:rPr>
        <w:t>4</w:t>
      </w:r>
      <w:r>
        <w:rPr>
          <w:rFonts w:hint="eastAsia"/>
          <w:sz w:val="32"/>
          <w:szCs w:val="32"/>
        </w:rPr>
        <w:t>：</w:t>
      </w:r>
    </w:p>
    <w:p w:rsidR="007B19D7" w:rsidRDefault="00A11A63">
      <w:pPr>
        <w:widowControl/>
        <w:jc w:val="center"/>
        <w:textAlignment w:val="center"/>
        <w:rPr>
          <w:rFonts w:ascii="SimSun" w:hAnsi="SimSun" w:cs="SimSun"/>
          <w:color w:val="000000"/>
          <w:kern w:val="0"/>
          <w:sz w:val="36"/>
          <w:szCs w:val="36"/>
        </w:rPr>
      </w:pPr>
      <w:r>
        <w:rPr>
          <w:rFonts w:ascii="SimSun" w:hAnsi="SimSun" w:cs="SimSun" w:hint="eastAsia"/>
          <w:color w:val="000000"/>
          <w:kern w:val="0"/>
          <w:sz w:val="36"/>
          <w:szCs w:val="36"/>
        </w:rPr>
        <w:t>固定周期市场间（省间）交易品种</w:t>
      </w:r>
      <w:r>
        <w:rPr>
          <w:rStyle w:val="a7"/>
          <w:rFonts w:ascii="SimSun" w:hAnsi="SimSun" w:cs="SimSun" w:hint="eastAsia"/>
          <w:color w:val="000000"/>
          <w:kern w:val="0"/>
          <w:sz w:val="36"/>
          <w:szCs w:val="36"/>
        </w:rPr>
        <w:footnoteReference w:id="28"/>
      </w:r>
      <w:r>
        <w:rPr>
          <w:rFonts w:ascii="SimSun" w:hAnsi="SimSun" w:cs="SimSun" w:hint="eastAsia"/>
          <w:color w:val="000000"/>
          <w:kern w:val="0"/>
          <w:sz w:val="36"/>
          <w:szCs w:val="36"/>
        </w:rPr>
        <w:t>详表</w:t>
      </w:r>
    </w:p>
    <w:tbl>
      <w:tblPr>
        <w:tblW w:w="8532" w:type="dxa"/>
        <w:jc w:val="center"/>
        <w:tblLayout w:type="fixed"/>
        <w:tblCellMar>
          <w:top w:w="15" w:type="dxa"/>
          <w:left w:w="15" w:type="dxa"/>
          <w:bottom w:w="15" w:type="dxa"/>
          <w:right w:w="15" w:type="dxa"/>
        </w:tblCellMar>
        <w:tblLook w:val="04A0"/>
      </w:tblPr>
      <w:tblGrid>
        <w:gridCol w:w="411"/>
        <w:gridCol w:w="453"/>
        <w:gridCol w:w="405"/>
        <w:gridCol w:w="441"/>
        <w:gridCol w:w="441"/>
        <w:gridCol w:w="465"/>
        <w:gridCol w:w="519"/>
        <w:gridCol w:w="112"/>
        <w:gridCol w:w="393"/>
        <w:gridCol w:w="306"/>
        <w:gridCol w:w="111"/>
        <w:gridCol w:w="796"/>
        <w:gridCol w:w="405"/>
        <w:gridCol w:w="673"/>
        <w:gridCol w:w="77"/>
        <w:gridCol w:w="328"/>
        <w:gridCol w:w="362"/>
        <w:gridCol w:w="1078"/>
        <w:gridCol w:w="756"/>
      </w:tblGrid>
      <w:tr w:rsidR="007B19D7">
        <w:trPr>
          <w:cantSplit/>
          <w:trHeight w:val="23"/>
          <w:jc w:val="center"/>
        </w:trPr>
        <w:tc>
          <w:tcPr>
            <w:tcW w:w="3946" w:type="dxa"/>
            <w:gridSpan w:val="10"/>
            <w:tcBorders>
              <w:top w:val="nil"/>
              <w:left w:val="nil"/>
              <w:bottom w:val="nil"/>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填报单位：</w:t>
            </w:r>
          </w:p>
        </w:tc>
        <w:tc>
          <w:tcPr>
            <w:tcW w:w="2390" w:type="dxa"/>
            <w:gridSpan w:val="6"/>
            <w:tcBorders>
              <w:top w:val="nil"/>
              <w:left w:val="nil"/>
              <w:bottom w:val="nil"/>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填报时间：</w:t>
            </w:r>
          </w:p>
        </w:tc>
        <w:tc>
          <w:tcPr>
            <w:tcW w:w="1440" w:type="dxa"/>
            <w:gridSpan w:val="2"/>
            <w:tcBorders>
              <w:top w:val="nil"/>
              <w:left w:val="nil"/>
              <w:bottom w:val="nil"/>
              <w:right w:val="nil"/>
            </w:tcBorders>
            <w:vAlign w:val="center"/>
          </w:tcPr>
          <w:p w:rsidR="007B19D7" w:rsidRDefault="007B19D7">
            <w:pPr>
              <w:widowControl/>
              <w:adjustRightInd w:val="0"/>
              <w:snapToGrid w:val="0"/>
              <w:jc w:val="center"/>
              <w:rPr>
                <w:rFonts w:ascii="SimSun" w:hAnsi="SimSun" w:cs="SimSun"/>
                <w:color w:val="000000"/>
                <w:sz w:val="18"/>
                <w:szCs w:val="18"/>
              </w:rPr>
            </w:pPr>
          </w:p>
        </w:tc>
        <w:tc>
          <w:tcPr>
            <w:tcW w:w="756" w:type="dxa"/>
            <w:tcBorders>
              <w:top w:val="nil"/>
              <w:left w:val="nil"/>
              <w:bottom w:val="nil"/>
              <w:right w:val="nil"/>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23"/>
          <w:jc w:val="center"/>
        </w:trPr>
        <w:tc>
          <w:tcPr>
            <w:tcW w:w="1710" w:type="dxa"/>
            <w:gridSpan w:val="4"/>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425" w:type="dxa"/>
            <w:gridSpan w:val="3"/>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811" w:type="dxa"/>
            <w:gridSpan w:val="3"/>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985" w:type="dxa"/>
            <w:gridSpan w:val="4"/>
            <w:tcBorders>
              <w:top w:val="nil"/>
              <w:left w:val="nil"/>
              <w:bottom w:val="single" w:sz="4" w:space="0" w:color="000000"/>
              <w:right w:val="nil"/>
            </w:tcBorders>
            <w:vAlign w:val="center"/>
          </w:tcPr>
          <w:p w:rsidR="007B19D7" w:rsidRDefault="007B19D7">
            <w:pPr>
              <w:widowControl/>
              <w:adjustRightInd w:val="0"/>
              <w:snapToGrid w:val="0"/>
              <w:rPr>
                <w:rFonts w:ascii="SimSun" w:hAnsi="SimSun" w:cs="SimSun"/>
                <w:color w:val="000000"/>
                <w:sz w:val="18"/>
                <w:szCs w:val="18"/>
              </w:rPr>
            </w:pPr>
          </w:p>
        </w:tc>
        <w:tc>
          <w:tcPr>
            <w:tcW w:w="405" w:type="dxa"/>
            <w:gridSpan w:val="2"/>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440" w:type="dxa"/>
            <w:gridSpan w:val="2"/>
            <w:tcBorders>
              <w:top w:val="nil"/>
              <w:left w:val="nil"/>
              <w:bottom w:val="single" w:sz="4" w:space="0" w:color="000000"/>
              <w:right w:val="nil"/>
            </w:tcBorders>
            <w:vAlign w:val="center"/>
          </w:tcPr>
          <w:p w:rsidR="007B19D7" w:rsidRDefault="007B19D7">
            <w:pPr>
              <w:widowControl/>
              <w:adjustRightInd w:val="0"/>
              <w:snapToGrid w:val="0"/>
              <w:jc w:val="center"/>
              <w:rPr>
                <w:rFonts w:ascii="SimSun" w:hAnsi="SimSun" w:cs="SimSun"/>
                <w:color w:val="000000"/>
                <w:sz w:val="18"/>
                <w:szCs w:val="18"/>
              </w:rPr>
            </w:pPr>
          </w:p>
        </w:tc>
        <w:tc>
          <w:tcPr>
            <w:tcW w:w="756" w:type="dxa"/>
            <w:tcBorders>
              <w:top w:val="nil"/>
              <w:left w:val="nil"/>
              <w:bottom w:val="single" w:sz="4" w:space="0" w:color="000000"/>
              <w:right w:val="nil"/>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w:t>
            </w:r>
          </w:p>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名称</w:t>
            </w: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交易标的</w:t>
            </w: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开市时间</w:t>
            </w: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买方</w:t>
            </w: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卖方</w:t>
            </w: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交易额度确定方式及主体</w:t>
            </w: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交易方式</w:t>
            </w: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限价</w:t>
            </w: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安全校核削减合同原则</w:t>
            </w: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结算周期</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输配电价收取方式</w:t>
            </w: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网损收取方式</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依据规则名称</w:t>
            </w: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1</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3</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bl>
    <w:p w:rsidR="007B19D7" w:rsidRDefault="00A11A63">
      <w:pPr>
        <w:rPr>
          <w:sz w:val="32"/>
          <w:szCs w:val="32"/>
        </w:rPr>
      </w:pPr>
      <w:r>
        <w:rPr>
          <w:rFonts w:hint="eastAsia"/>
          <w:sz w:val="32"/>
          <w:szCs w:val="32"/>
        </w:rPr>
        <w:t>附件</w:t>
      </w:r>
      <w:r>
        <w:rPr>
          <w:rFonts w:hint="eastAsia"/>
          <w:sz w:val="32"/>
          <w:szCs w:val="32"/>
        </w:rPr>
        <w:t>5</w:t>
      </w:r>
      <w:r>
        <w:rPr>
          <w:rFonts w:hint="eastAsia"/>
          <w:sz w:val="32"/>
          <w:szCs w:val="32"/>
        </w:rPr>
        <w:t>：</w:t>
      </w:r>
    </w:p>
    <w:p w:rsidR="007B19D7" w:rsidRDefault="00A11A63">
      <w:pPr>
        <w:widowControl/>
        <w:jc w:val="center"/>
        <w:textAlignment w:val="center"/>
        <w:rPr>
          <w:rFonts w:ascii="SimSun" w:hAnsi="SimSun" w:cs="SimSun"/>
          <w:color w:val="000000"/>
          <w:kern w:val="0"/>
          <w:sz w:val="36"/>
          <w:szCs w:val="36"/>
        </w:rPr>
      </w:pPr>
      <w:r>
        <w:rPr>
          <w:rFonts w:ascii="SimSun" w:hAnsi="SimSun" w:cs="SimSun" w:hint="eastAsia"/>
          <w:color w:val="000000"/>
          <w:kern w:val="0"/>
          <w:sz w:val="36"/>
          <w:szCs w:val="36"/>
        </w:rPr>
        <w:t>非固定周期市场间（省间）交易品种</w:t>
      </w:r>
      <w:r>
        <w:rPr>
          <w:rStyle w:val="a7"/>
          <w:rFonts w:ascii="SimSun" w:hAnsi="SimSun" w:cs="SimSun" w:hint="eastAsia"/>
          <w:color w:val="000000"/>
          <w:kern w:val="0"/>
          <w:sz w:val="36"/>
          <w:szCs w:val="36"/>
        </w:rPr>
        <w:footnoteReference w:id="29"/>
      </w:r>
      <w:r>
        <w:rPr>
          <w:rFonts w:ascii="SimSun" w:hAnsi="SimSun" w:cs="SimSun" w:hint="eastAsia"/>
          <w:color w:val="000000"/>
          <w:kern w:val="0"/>
          <w:sz w:val="36"/>
          <w:szCs w:val="36"/>
        </w:rPr>
        <w:t>详表</w:t>
      </w:r>
    </w:p>
    <w:tbl>
      <w:tblPr>
        <w:tblW w:w="8532" w:type="dxa"/>
        <w:jc w:val="center"/>
        <w:tblLayout w:type="fixed"/>
        <w:tblCellMar>
          <w:top w:w="15" w:type="dxa"/>
          <w:left w:w="15" w:type="dxa"/>
          <w:bottom w:w="15" w:type="dxa"/>
          <w:right w:w="15" w:type="dxa"/>
        </w:tblCellMar>
        <w:tblLook w:val="04A0"/>
      </w:tblPr>
      <w:tblGrid>
        <w:gridCol w:w="411"/>
        <w:gridCol w:w="453"/>
        <w:gridCol w:w="405"/>
        <w:gridCol w:w="441"/>
        <w:gridCol w:w="441"/>
        <w:gridCol w:w="465"/>
        <w:gridCol w:w="519"/>
        <w:gridCol w:w="112"/>
        <w:gridCol w:w="393"/>
        <w:gridCol w:w="306"/>
        <w:gridCol w:w="111"/>
        <w:gridCol w:w="796"/>
        <w:gridCol w:w="405"/>
        <w:gridCol w:w="673"/>
        <w:gridCol w:w="77"/>
        <w:gridCol w:w="328"/>
        <w:gridCol w:w="362"/>
        <w:gridCol w:w="1078"/>
        <w:gridCol w:w="756"/>
      </w:tblGrid>
      <w:tr w:rsidR="007B19D7">
        <w:trPr>
          <w:cantSplit/>
          <w:trHeight w:val="23"/>
          <w:jc w:val="center"/>
        </w:trPr>
        <w:tc>
          <w:tcPr>
            <w:tcW w:w="3946" w:type="dxa"/>
            <w:gridSpan w:val="10"/>
            <w:tcBorders>
              <w:top w:val="nil"/>
              <w:left w:val="nil"/>
              <w:bottom w:val="nil"/>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填报单位：</w:t>
            </w:r>
          </w:p>
        </w:tc>
        <w:tc>
          <w:tcPr>
            <w:tcW w:w="2390" w:type="dxa"/>
            <w:gridSpan w:val="6"/>
            <w:tcBorders>
              <w:top w:val="nil"/>
              <w:left w:val="nil"/>
              <w:bottom w:val="nil"/>
              <w:right w:val="nil"/>
            </w:tcBorders>
            <w:vAlign w:val="center"/>
          </w:tcPr>
          <w:p w:rsidR="007B19D7" w:rsidRDefault="00A11A63">
            <w:pPr>
              <w:widowControl/>
              <w:adjustRightInd w:val="0"/>
              <w:snapToGrid w:val="0"/>
              <w:jc w:val="center"/>
              <w:textAlignment w:val="center"/>
              <w:rPr>
                <w:rFonts w:ascii="SimSun" w:hAnsi="SimSun" w:cs="SimSun"/>
                <w:color w:val="000000"/>
                <w:sz w:val="18"/>
                <w:szCs w:val="18"/>
              </w:rPr>
            </w:pPr>
            <w:r>
              <w:rPr>
                <w:rFonts w:ascii="SimSun" w:hAnsi="SimSun" w:cs="SimSun" w:hint="eastAsia"/>
                <w:color w:val="000000"/>
                <w:kern w:val="0"/>
                <w:sz w:val="18"/>
                <w:szCs w:val="18"/>
              </w:rPr>
              <w:t>填报时间：</w:t>
            </w:r>
          </w:p>
        </w:tc>
        <w:tc>
          <w:tcPr>
            <w:tcW w:w="1440" w:type="dxa"/>
            <w:gridSpan w:val="2"/>
            <w:tcBorders>
              <w:top w:val="nil"/>
              <w:left w:val="nil"/>
              <w:bottom w:val="nil"/>
              <w:right w:val="nil"/>
            </w:tcBorders>
            <w:vAlign w:val="center"/>
          </w:tcPr>
          <w:p w:rsidR="007B19D7" w:rsidRDefault="007B19D7">
            <w:pPr>
              <w:widowControl/>
              <w:adjustRightInd w:val="0"/>
              <w:snapToGrid w:val="0"/>
              <w:jc w:val="center"/>
              <w:rPr>
                <w:rFonts w:ascii="SimSun" w:hAnsi="SimSun" w:cs="SimSun"/>
                <w:color w:val="000000"/>
                <w:sz w:val="18"/>
                <w:szCs w:val="18"/>
              </w:rPr>
            </w:pPr>
          </w:p>
        </w:tc>
        <w:tc>
          <w:tcPr>
            <w:tcW w:w="756" w:type="dxa"/>
            <w:tcBorders>
              <w:top w:val="nil"/>
              <w:left w:val="nil"/>
              <w:bottom w:val="nil"/>
              <w:right w:val="nil"/>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23"/>
          <w:jc w:val="center"/>
        </w:trPr>
        <w:tc>
          <w:tcPr>
            <w:tcW w:w="1710" w:type="dxa"/>
            <w:gridSpan w:val="4"/>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425" w:type="dxa"/>
            <w:gridSpan w:val="3"/>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811" w:type="dxa"/>
            <w:gridSpan w:val="3"/>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985" w:type="dxa"/>
            <w:gridSpan w:val="4"/>
            <w:tcBorders>
              <w:top w:val="nil"/>
              <w:left w:val="nil"/>
              <w:bottom w:val="single" w:sz="4" w:space="0" w:color="000000"/>
              <w:right w:val="nil"/>
            </w:tcBorders>
            <w:vAlign w:val="center"/>
          </w:tcPr>
          <w:p w:rsidR="007B19D7" w:rsidRDefault="007B19D7">
            <w:pPr>
              <w:widowControl/>
              <w:adjustRightInd w:val="0"/>
              <w:snapToGrid w:val="0"/>
              <w:rPr>
                <w:rFonts w:ascii="SimSun" w:hAnsi="SimSun" w:cs="SimSun"/>
                <w:color w:val="000000"/>
                <w:sz w:val="18"/>
                <w:szCs w:val="18"/>
              </w:rPr>
            </w:pPr>
          </w:p>
        </w:tc>
        <w:tc>
          <w:tcPr>
            <w:tcW w:w="405" w:type="dxa"/>
            <w:gridSpan w:val="2"/>
            <w:tcBorders>
              <w:top w:val="nil"/>
              <w:left w:val="nil"/>
              <w:bottom w:val="single" w:sz="4" w:space="0" w:color="000000"/>
              <w:right w:val="nil"/>
            </w:tcBorders>
            <w:vAlign w:val="center"/>
          </w:tcPr>
          <w:p w:rsidR="007B19D7" w:rsidRDefault="007B19D7">
            <w:pPr>
              <w:widowControl/>
              <w:adjustRightInd w:val="0"/>
              <w:snapToGrid w:val="0"/>
              <w:jc w:val="center"/>
              <w:textAlignment w:val="center"/>
              <w:rPr>
                <w:rFonts w:ascii="SimSun" w:hAnsi="SimSun" w:cs="SimSun"/>
                <w:color w:val="000000"/>
                <w:kern w:val="0"/>
                <w:sz w:val="18"/>
                <w:szCs w:val="18"/>
              </w:rPr>
            </w:pPr>
          </w:p>
        </w:tc>
        <w:tc>
          <w:tcPr>
            <w:tcW w:w="1440" w:type="dxa"/>
            <w:gridSpan w:val="2"/>
            <w:tcBorders>
              <w:top w:val="nil"/>
              <w:left w:val="nil"/>
              <w:bottom w:val="single" w:sz="4" w:space="0" w:color="000000"/>
              <w:right w:val="nil"/>
            </w:tcBorders>
            <w:vAlign w:val="center"/>
          </w:tcPr>
          <w:p w:rsidR="007B19D7" w:rsidRDefault="007B19D7">
            <w:pPr>
              <w:widowControl/>
              <w:adjustRightInd w:val="0"/>
              <w:snapToGrid w:val="0"/>
              <w:jc w:val="center"/>
              <w:rPr>
                <w:rFonts w:ascii="SimSun" w:hAnsi="SimSun" w:cs="SimSun"/>
                <w:color w:val="000000"/>
                <w:sz w:val="18"/>
                <w:szCs w:val="18"/>
              </w:rPr>
            </w:pPr>
          </w:p>
        </w:tc>
        <w:tc>
          <w:tcPr>
            <w:tcW w:w="756" w:type="dxa"/>
            <w:tcBorders>
              <w:top w:val="nil"/>
              <w:left w:val="nil"/>
              <w:bottom w:val="single" w:sz="4" w:space="0" w:color="000000"/>
              <w:right w:val="nil"/>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实际组织时间</w:t>
            </w: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w:t>
            </w:r>
          </w:p>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名称</w:t>
            </w: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交易标的</w:t>
            </w: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买方</w:t>
            </w: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卖方</w:t>
            </w: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交易额度确定方式及主体</w:t>
            </w: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交易方式</w:t>
            </w: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限价</w:t>
            </w: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安全校核削减合同原则</w:t>
            </w: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结算周期</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输配电价收取方式</w:t>
            </w: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网损收取方式</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sz w:val="18"/>
                <w:szCs w:val="18"/>
              </w:rPr>
            </w:pPr>
            <w:r>
              <w:rPr>
                <w:rFonts w:ascii="SimSun" w:hAnsi="SimSun" w:cs="SimSun" w:hint="eastAsia"/>
                <w:color w:val="000000"/>
                <w:sz w:val="18"/>
                <w:szCs w:val="18"/>
              </w:rPr>
              <w:t>依据规则名称</w:t>
            </w: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1</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3</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r w:rsidR="007B19D7">
        <w:trPr>
          <w:cantSplit/>
          <w:trHeight w:val="86"/>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7B19D7" w:rsidRDefault="00A11A63">
            <w:pPr>
              <w:widowControl/>
              <w:adjustRightInd w:val="0"/>
              <w:snapToGrid w:val="0"/>
              <w:jc w:val="center"/>
              <w:rPr>
                <w:rFonts w:ascii="SimSun" w:hAnsi="SimSun" w:cs="SimSun"/>
                <w:color w:val="000000"/>
                <w:kern w:val="0"/>
                <w:sz w:val="18"/>
                <w:szCs w:val="18"/>
              </w:rPr>
            </w:pPr>
            <w:r>
              <w:rPr>
                <w:rFonts w:ascii="SimSun" w:hAnsi="SimSun" w:cs="SimSun" w:hint="eastAsia"/>
                <w:color w:val="000000"/>
                <w:kern w:val="0"/>
                <w:sz w:val="18"/>
                <w:szCs w:val="18"/>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17"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7B19D7" w:rsidRDefault="007B19D7">
            <w:pPr>
              <w:widowControl/>
              <w:adjustRightInd w:val="0"/>
              <w:snapToGrid w:val="0"/>
              <w:jc w:val="center"/>
              <w:rPr>
                <w:rFonts w:ascii="SimSun" w:hAnsi="SimSun" w:cs="SimSun"/>
                <w:color w:val="000000"/>
                <w:kern w:val="0"/>
                <w:sz w:val="18"/>
                <w:szCs w:val="18"/>
              </w:rPr>
            </w:pPr>
          </w:p>
        </w:tc>
      </w:tr>
    </w:tbl>
    <w:p w:rsidR="007B19D7" w:rsidRDefault="007B19D7">
      <w:pPr>
        <w:rPr>
          <w:sz w:val="32"/>
          <w:szCs w:val="32"/>
        </w:rPr>
      </w:pPr>
    </w:p>
    <w:p w:rsidR="001812E8" w:rsidRDefault="001812E8">
      <w:pPr>
        <w:rPr>
          <w:sz w:val="32"/>
          <w:szCs w:val="32"/>
        </w:rPr>
      </w:pPr>
    </w:p>
    <w:p w:rsidR="007B19D7" w:rsidRDefault="00A11A63">
      <w:pPr>
        <w:rPr>
          <w:sz w:val="32"/>
          <w:szCs w:val="32"/>
        </w:rPr>
      </w:pPr>
      <w:r>
        <w:rPr>
          <w:rFonts w:hint="eastAsia"/>
          <w:sz w:val="32"/>
          <w:szCs w:val="32"/>
        </w:rPr>
        <w:lastRenderedPageBreak/>
        <w:t>附件</w:t>
      </w:r>
      <w:r>
        <w:rPr>
          <w:rFonts w:hint="eastAsia"/>
          <w:sz w:val="32"/>
          <w:szCs w:val="32"/>
        </w:rPr>
        <w:t>6</w:t>
      </w:r>
      <w:r>
        <w:rPr>
          <w:rFonts w:hint="eastAsia"/>
          <w:sz w:val="32"/>
          <w:szCs w:val="32"/>
        </w:rPr>
        <w:t>：</w:t>
      </w:r>
    </w:p>
    <w:p w:rsidR="007B19D7" w:rsidRPr="006E0067" w:rsidRDefault="00A11A63">
      <w:pPr>
        <w:widowControl/>
        <w:jc w:val="center"/>
        <w:textAlignment w:val="center"/>
        <w:rPr>
          <w:rFonts w:ascii="仿宋_GB2312" w:eastAsia="仿宋_GB2312" w:hAnsi="SimSun" w:cs="SimSun" w:hint="eastAsia"/>
          <w:color w:val="000000"/>
          <w:kern w:val="0"/>
          <w:sz w:val="36"/>
          <w:szCs w:val="36"/>
        </w:rPr>
      </w:pPr>
      <w:r w:rsidRPr="006E0067">
        <w:rPr>
          <w:rFonts w:ascii="仿宋_GB2312" w:eastAsia="仿宋_GB2312" w:hAnsi="SimSun" w:cs="SimSun" w:hint="eastAsia"/>
          <w:color w:val="000000"/>
          <w:kern w:val="0"/>
          <w:sz w:val="36"/>
          <w:szCs w:val="36"/>
        </w:rPr>
        <w:t>文字说明提纲</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请对市场内针对特定用户群体参与的交易品种（例如专场交易等）和对应的用户准入要求进行介绍说明。（如无此情况，请填写无）</w:t>
      </w:r>
      <w:r w:rsidRPr="006E0067">
        <w:rPr>
          <w:rFonts w:ascii="仿宋_GB2312" w:eastAsia="仿宋_GB2312" w:hAnsi="FangSong_GB2312" w:cs="FangSong_GB2312" w:hint="eastAsia"/>
          <w:color w:val="000000"/>
          <w:kern w:val="0"/>
          <w:sz w:val="32"/>
          <w:szCs w:val="32"/>
        </w:rPr>
        <w:tab/>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2</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请对事前给定交易价格的交易品种的情形和对应的用户准入条件进行介绍说明。（如无此情况，请填写无）</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3</w:t>
      </w:r>
      <w:r w:rsidRPr="006E0067">
        <w:rPr>
          <w:rFonts w:ascii="仿宋_GB2312" w:eastAsia="仿宋_GB2312" w:hAnsi="FangSong_GB2312" w:cs="FangSong_GB2312" w:hint="eastAsia"/>
          <w:color w:val="000000"/>
          <w:kern w:val="0"/>
          <w:sz w:val="32"/>
          <w:szCs w:val="32"/>
        </w:rPr>
        <w:tab/>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请对准入用户总需求超过</w:t>
      </w:r>
      <w:r w:rsidR="004F63B8" w:rsidRPr="006E0067">
        <w:rPr>
          <w:rFonts w:ascii="仿宋_GB2312" w:eastAsia="仿宋_GB2312" w:hAnsi="FangSong_GB2312" w:cs="FangSong_GB2312" w:hint="eastAsia"/>
          <w:color w:val="000000"/>
          <w:kern w:val="0"/>
          <w:sz w:val="32"/>
          <w:szCs w:val="32"/>
        </w:rPr>
        <w:t>事前</w:t>
      </w:r>
      <w:r w:rsidRPr="006E0067">
        <w:rPr>
          <w:rFonts w:ascii="仿宋_GB2312" w:eastAsia="仿宋_GB2312" w:hAnsi="FangSong_GB2312" w:cs="FangSong_GB2312" w:hint="eastAsia"/>
          <w:color w:val="000000"/>
          <w:kern w:val="0"/>
          <w:sz w:val="32"/>
          <w:szCs w:val="32"/>
        </w:rPr>
        <w:t>交易规模的情形（即用户需求明显</w:t>
      </w:r>
      <w:r w:rsidR="00B06044">
        <w:rPr>
          <w:rFonts w:ascii="仿宋_GB2312" w:eastAsia="仿宋_GB2312" w:hAnsi="FangSong_GB2312" w:cs="FangSong_GB2312" w:hint="eastAsia"/>
          <w:color w:val="000000"/>
          <w:kern w:val="0"/>
          <w:sz w:val="32"/>
          <w:szCs w:val="32"/>
        </w:rPr>
        <w:t>大</w:t>
      </w:r>
      <w:r w:rsidR="00FF1C74">
        <w:rPr>
          <w:rFonts w:ascii="仿宋_GB2312" w:eastAsia="仿宋_GB2312" w:hAnsi="FangSong_GB2312" w:cs="FangSong_GB2312" w:hint="eastAsia"/>
          <w:color w:val="000000"/>
          <w:kern w:val="0"/>
          <w:sz w:val="32"/>
          <w:szCs w:val="32"/>
        </w:rPr>
        <w:t>于</w:t>
      </w:r>
      <w:r w:rsidRPr="006E0067">
        <w:rPr>
          <w:rFonts w:ascii="仿宋_GB2312" w:eastAsia="仿宋_GB2312" w:hAnsi="FangSong_GB2312" w:cs="FangSong_GB2312" w:hint="eastAsia"/>
          <w:color w:val="000000"/>
          <w:kern w:val="0"/>
          <w:sz w:val="32"/>
          <w:szCs w:val="32"/>
        </w:rPr>
        <w:t>供给的情况）进行介绍说明。（如无此情况，请填写无）</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4</w:t>
      </w:r>
      <w:r w:rsidRPr="006E0067">
        <w:rPr>
          <w:rFonts w:ascii="仿宋_GB2312" w:eastAsia="仿宋_GB2312" w:hAnsi="FangSong_GB2312" w:cs="FangSong_GB2312" w:hint="eastAsia"/>
          <w:color w:val="000000"/>
          <w:kern w:val="0"/>
          <w:sz w:val="32"/>
          <w:szCs w:val="32"/>
        </w:rPr>
        <w:tab/>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请对预</w:t>
      </w:r>
      <w:bookmarkStart w:id="0" w:name="_GoBack"/>
      <w:bookmarkEnd w:id="0"/>
      <w:r w:rsidRPr="006E0067">
        <w:rPr>
          <w:rFonts w:ascii="仿宋_GB2312" w:eastAsia="仿宋_GB2312" w:hAnsi="FangSong_GB2312" w:cs="FangSong_GB2312" w:hint="eastAsia"/>
          <w:color w:val="000000"/>
          <w:kern w:val="0"/>
          <w:sz w:val="32"/>
          <w:szCs w:val="32"/>
        </w:rPr>
        <w:t>知交易周期中存在电力供不应求时段，但交易总体仍设置为供大于求的情形（即人为设置供不应求时段供需比仍大于1）进行介绍说明。（如无此情况，请填写无）</w:t>
      </w:r>
    </w:p>
    <w:p w:rsidR="001812E8"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5</w:t>
      </w:r>
      <w:r w:rsidR="001812E8" w:rsidRPr="006E0067">
        <w:rPr>
          <w:rFonts w:ascii="仿宋_GB2312" w:eastAsia="仿宋_GB2312" w:hAnsi="FangSong_GB2312" w:cs="FangSong_GB2312" w:hint="eastAsia"/>
          <w:color w:val="000000"/>
          <w:kern w:val="0"/>
          <w:sz w:val="32"/>
          <w:szCs w:val="32"/>
        </w:rPr>
        <w:t>.</w:t>
      </w:r>
      <w:r w:rsidR="00652123">
        <w:rPr>
          <w:rFonts w:ascii="仿宋_GB2312" w:eastAsia="仿宋_GB2312" w:hAnsi="FangSong_GB2312" w:cs="FangSong_GB2312" w:hint="eastAsia"/>
          <w:color w:val="000000"/>
          <w:kern w:val="0"/>
          <w:sz w:val="32"/>
          <w:szCs w:val="32"/>
        </w:rPr>
        <w:t>现有</w:t>
      </w:r>
      <w:r w:rsidR="001812E8" w:rsidRPr="006E0067">
        <w:rPr>
          <w:rFonts w:ascii="仿宋_GB2312" w:eastAsia="仿宋_GB2312" w:hAnsi="FangSong_GB2312" w:cs="FangSong_GB2312" w:hint="eastAsia"/>
          <w:color w:val="000000"/>
          <w:kern w:val="0"/>
          <w:sz w:val="32"/>
          <w:szCs w:val="32"/>
        </w:rPr>
        <w:t>交易系统和规则</w:t>
      </w:r>
      <w:r w:rsidR="00652123">
        <w:rPr>
          <w:rFonts w:ascii="仿宋_GB2312" w:eastAsia="仿宋_GB2312" w:hAnsi="FangSong_GB2312" w:cs="FangSong_GB2312" w:hint="eastAsia"/>
          <w:color w:val="000000"/>
          <w:kern w:val="0"/>
          <w:sz w:val="32"/>
          <w:szCs w:val="32"/>
        </w:rPr>
        <w:t>是否</w:t>
      </w:r>
      <w:r w:rsidR="001812E8" w:rsidRPr="006E0067">
        <w:rPr>
          <w:rFonts w:ascii="仿宋_GB2312" w:eastAsia="仿宋_GB2312" w:hAnsi="FangSong_GB2312" w:cs="FangSong_GB2312" w:hint="eastAsia"/>
          <w:color w:val="000000"/>
          <w:kern w:val="0"/>
          <w:sz w:val="32"/>
          <w:szCs w:val="32"/>
        </w:rPr>
        <w:t>支持全部市场主体</w:t>
      </w:r>
      <w:r w:rsidR="00652123">
        <w:rPr>
          <w:rFonts w:ascii="仿宋_GB2312" w:eastAsia="仿宋_GB2312" w:hAnsi="FangSong_GB2312" w:cs="FangSong_GB2312" w:hint="eastAsia"/>
          <w:color w:val="000000"/>
          <w:kern w:val="0"/>
          <w:sz w:val="32"/>
          <w:szCs w:val="32"/>
        </w:rPr>
        <w:t>能够自由参与挂牌交易，且拥有相同的挂牌权力（不存在只允许某一类市场主体挂牌的情况）的</w:t>
      </w:r>
      <w:r w:rsidRPr="006E0067">
        <w:rPr>
          <w:rFonts w:ascii="仿宋_GB2312" w:eastAsia="仿宋_GB2312" w:hAnsi="FangSong_GB2312" w:cs="FangSong_GB2312" w:hint="eastAsia"/>
          <w:color w:val="000000"/>
          <w:kern w:val="0"/>
          <w:sz w:val="32"/>
          <w:szCs w:val="32"/>
        </w:rPr>
        <w:t>情况进行说明。（如有限制，具体说明情况）</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6</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请介绍所在市场，用户全电量参与市场的定义和参与情况。请介绍自身原因退出市场用户</w:t>
      </w:r>
      <w:r w:rsidR="00E50569">
        <w:rPr>
          <w:rFonts w:ascii="仿宋_GB2312" w:eastAsia="仿宋_GB2312" w:hAnsi="FangSong_GB2312" w:cs="FangSong_GB2312" w:hint="eastAsia"/>
          <w:color w:val="000000"/>
          <w:kern w:val="0"/>
          <w:sz w:val="32"/>
          <w:szCs w:val="32"/>
        </w:rPr>
        <w:t>价格执行</w:t>
      </w:r>
      <w:r w:rsidRPr="006E0067">
        <w:rPr>
          <w:rFonts w:ascii="仿宋_GB2312" w:eastAsia="仿宋_GB2312" w:hAnsi="FangSong_GB2312" w:cs="FangSong_GB2312" w:hint="eastAsia"/>
          <w:color w:val="000000"/>
          <w:kern w:val="0"/>
          <w:sz w:val="32"/>
          <w:szCs w:val="32"/>
        </w:rPr>
        <w:t>情况。</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7</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输配电价核定后，交易过程中是否执行核定的输配电价？如未执行，请说明具体原因。</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lastRenderedPageBreak/>
        <w:t>8</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交易中是否存在交易后临时修改规则</w:t>
      </w:r>
      <w:r w:rsidR="00E50569">
        <w:rPr>
          <w:rFonts w:ascii="仿宋_GB2312" w:eastAsia="仿宋_GB2312" w:hAnsi="FangSong_GB2312" w:cs="FangSong_GB2312" w:hint="eastAsia"/>
          <w:color w:val="000000"/>
          <w:kern w:val="0"/>
          <w:sz w:val="32"/>
          <w:szCs w:val="32"/>
        </w:rPr>
        <w:t>的</w:t>
      </w:r>
      <w:r w:rsidR="00703178">
        <w:rPr>
          <w:rFonts w:ascii="仿宋_GB2312" w:eastAsia="仿宋_GB2312" w:hAnsi="FangSong_GB2312" w:cs="FangSong_GB2312" w:hint="eastAsia"/>
          <w:color w:val="000000"/>
          <w:kern w:val="0"/>
          <w:sz w:val="32"/>
          <w:szCs w:val="32"/>
        </w:rPr>
        <w:t>情况？请详述原因和次数，以及</w:t>
      </w:r>
      <w:r w:rsidRPr="006E0067">
        <w:rPr>
          <w:rFonts w:ascii="仿宋_GB2312" w:eastAsia="仿宋_GB2312" w:hAnsi="FangSong_GB2312" w:cs="FangSong_GB2312" w:hint="eastAsia"/>
          <w:color w:val="000000"/>
          <w:kern w:val="0"/>
          <w:sz w:val="32"/>
          <w:szCs w:val="32"/>
        </w:rPr>
        <w:t>临时修改规则决策</w:t>
      </w:r>
      <w:r w:rsidR="00F05942" w:rsidRPr="006E0067">
        <w:rPr>
          <w:rFonts w:ascii="仿宋_GB2312" w:eastAsia="仿宋_GB2312" w:hAnsi="FangSong_GB2312" w:cs="FangSong_GB2312" w:hint="eastAsia"/>
          <w:color w:val="000000"/>
          <w:kern w:val="0"/>
          <w:sz w:val="32"/>
          <w:szCs w:val="32"/>
        </w:rPr>
        <w:t>程序和授权主体</w:t>
      </w:r>
      <w:r w:rsidRPr="006E0067">
        <w:rPr>
          <w:rFonts w:ascii="仿宋_GB2312" w:eastAsia="仿宋_GB2312" w:hAnsi="FangSong_GB2312" w:cs="FangSong_GB2312" w:hint="eastAsia"/>
          <w:color w:val="000000"/>
          <w:kern w:val="0"/>
          <w:sz w:val="32"/>
          <w:szCs w:val="32"/>
        </w:rPr>
        <w:t>？</w:t>
      </w:r>
      <w:r w:rsidR="00703178">
        <w:rPr>
          <w:rFonts w:ascii="仿宋_GB2312" w:eastAsia="仿宋_GB2312" w:hAnsi="FangSong_GB2312" w:cs="FangSong_GB2312" w:hint="eastAsia"/>
          <w:color w:val="000000"/>
          <w:kern w:val="0"/>
          <w:sz w:val="32"/>
          <w:szCs w:val="32"/>
        </w:rPr>
        <w:t>请说明</w:t>
      </w:r>
      <w:r w:rsidRPr="006E0067">
        <w:rPr>
          <w:rFonts w:ascii="仿宋_GB2312" w:eastAsia="仿宋_GB2312" w:hAnsi="FangSong_GB2312" w:cs="FangSong_GB2312" w:hint="eastAsia"/>
          <w:color w:val="000000"/>
          <w:kern w:val="0"/>
          <w:sz w:val="32"/>
          <w:szCs w:val="32"/>
        </w:rPr>
        <w:t>所在市场交易规则修改</w:t>
      </w:r>
      <w:r w:rsidR="00F05942" w:rsidRPr="006E0067">
        <w:rPr>
          <w:rFonts w:ascii="仿宋_GB2312" w:eastAsia="仿宋_GB2312" w:hAnsi="FangSong_GB2312" w:cs="FangSong_GB2312" w:hint="eastAsia"/>
          <w:color w:val="000000"/>
          <w:kern w:val="0"/>
          <w:sz w:val="32"/>
          <w:szCs w:val="32"/>
        </w:rPr>
        <w:t>的发起主体和程序</w:t>
      </w:r>
      <w:r w:rsidRPr="006E0067">
        <w:rPr>
          <w:rFonts w:ascii="仿宋_GB2312" w:eastAsia="仿宋_GB2312" w:hAnsi="FangSong_GB2312" w:cs="FangSong_GB2312" w:hint="eastAsia"/>
          <w:color w:val="000000"/>
          <w:kern w:val="0"/>
          <w:sz w:val="32"/>
          <w:szCs w:val="32"/>
        </w:rPr>
        <w:t>？</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9</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请解释设立偏差考核的原因，并提交政府授权文件，详述偏差费用</w:t>
      </w:r>
      <w:r w:rsidR="00703178">
        <w:rPr>
          <w:rFonts w:ascii="仿宋_GB2312" w:eastAsia="仿宋_GB2312" w:hAnsi="FangSong_GB2312" w:cs="FangSong_GB2312" w:hint="eastAsia"/>
          <w:color w:val="000000"/>
          <w:kern w:val="0"/>
          <w:sz w:val="32"/>
          <w:szCs w:val="32"/>
        </w:rPr>
        <w:t>收取及</w:t>
      </w:r>
      <w:r w:rsidRPr="006E0067">
        <w:rPr>
          <w:rFonts w:ascii="仿宋_GB2312" w:eastAsia="仿宋_GB2312" w:hAnsi="FangSong_GB2312" w:cs="FangSong_GB2312" w:hint="eastAsia"/>
          <w:color w:val="000000"/>
          <w:kern w:val="0"/>
          <w:sz w:val="32"/>
          <w:szCs w:val="32"/>
        </w:rPr>
        <w:t>使用情况。（如无此情况，请填写无）</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10</w:t>
      </w:r>
      <w:r w:rsidR="001812E8" w:rsidRPr="006E0067">
        <w:rPr>
          <w:rFonts w:ascii="仿宋_GB2312" w:eastAsia="仿宋_GB2312" w:hAnsi="FangSong_GB2312" w:cs="FangSong_GB2312" w:hint="eastAsia"/>
          <w:color w:val="000000"/>
          <w:kern w:val="0"/>
          <w:sz w:val="32"/>
          <w:szCs w:val="32"/>
        </w:rPr>
        <w:t>.</w:t>
      </w:r>
      <w:r w:rsidR="00057566" w:rsidRPr="006E0067">
        <w:rPr>
          <w:rFonts w:ascii="仿宋_GB2312" w:eastAsia="仿宋_GB2312" w:hAnsi="FangSong_GB2312" w:cs="FangSong_GB2312" w:hint="eastAsia"/>
          <w:color w:val="000000"/>
          <w:kern w:val="0"/>
          <w:sz w:val="32"/>
          <w:szCs w:val="32"/>
        </w:rPr>
        <w:t>跨省</w:t>
      </w:r>
      <w:r w:rsidR="00703178">
        <w:rPr>
          <w:rFonts w:ascii="仿宋_GB2312" w:eastAsia="仿宋_GB2312" w:hAnsi="FangSong_GB2312" w:cs="FangSong_GB2312" w:hint="eastAsia"/>
          <w:color w:val="000000"/>
          <w:kern w:val="0"/>
          <w:sz w:val="32"/>
          <w:szCs w:val="32"/>
        </w:rPr>
        <w:t>（</w:t>
      </w:r>
      <w:r w:rsidR="00057566" w:rsidRPr="006E0067">
        <w:rPr>
          <w:rFonts w:ascii="仿宋_GB2312" w:eastAsia="仿宋_GB2312" w:hAnsi="FangSong_GB2312" w:cs="FangSong_GB2312" w:hint="eastAsia"/>
          <w:color w:val="000000"/>
          <w:kern w:val="0"/>
          <w:sz w:val="32"/>
          <w:szCs w:val="32"/>
        </w:rPr>
        <w:t>区</w:t>
      </w:r>
      <w:r w:rsidR="00703178">
        <w:rPr>
          <w:rFonts w:ascii="仿宋_GB2312" w:eastAsia="仿宋_GB2312" w:hAnsi="FangSong_GB2312" w:cs="FangSong_GB2312" w:hint="eastAsia"/>
          <w:color w:val="000000"/>
          <w:kern w:val="0"/>
          <w:sz w:val="32"/>
          <w:szCs w:val="32"/>
        </w:rPr>
        <w:t>）</w:t>
      </w:r>
      <w:r w:rsidR="00057566" w:rsidRPr="006E0067">
        <w:rPr>
          <w:rFonts w:ascii="仿宋_GB2312" w:eastAsia="仿宋_GB2312" w:hAnsi="FangSong_GB2312" w:cs="FangSong_GB2312" w:hint="eastAsia"/>
          <w:color w:val="000000"/>
          <w:kern w:val="0"/>
          <w:sz w:val="32"/>
          <w:szCs w:val="32"/>
        </w:rPr>
        <w:t>交易和省内市场如何衔接，</w:t>
      </w:r>
      <w:r w:rsidR="00703178">
        <w:rPr>
          <w:rFonts w:ascii="仿宋_GB2312" w:eastAsia="仿宋_GB2312" w:hAnsi="FangSong_GB2312" w:cs="FangSong_GB2312" w:hint="eastAsia"/>
          <w:color w:val="000000"/>
          <w:kern w:val="0"/>
          <w:sz w:val="32"/>
          <w:szCs w:val="32"/>
        </w:rPr>
        <w:t>详述</w:t>
      </w:r>
      <w:r w:rsidR="00057566" w:rsidRPr="006E0067">
        <w:rPr>
          <w:rFonts w:ascii="仿宋_GB2312" w:eastAsia="仿宋_GB2312" w:hAnsi="FangSong_GB2312" w:cs="FangSong_GB2312" w:hint="eastAsia"/>
          <w:color w:val="000000"/>
          <w:kern w:val="0"/>
          <w:sz w:val="32"/>
          <w:szCs w:val="32"/>
        </w:rPr>
        <w:t>存在问题</w:t>
      </w:r>
      <w:r w:rsidR="00703178">
        <w:rPr>
          <w:rFonts w:ascii="仿宋_GB2312" w:eastAsia="仿宋_GB2312" w:hAnsi="FangSong_GB2312" w:cs="FangSong_GB2312" w:hint="eastAsia"/>
          <w:color w:val="000000"/>
          <w:kern w:val="0"/>
          <w:sz w:val="32"/>
          <w:szCs w:val="32"/>
        </w:rPr>
        <w:t>和</w:t>
      </w:r>
      <w:r w:rsidR="00057566" w:rsidRPr="006E0067">
        <w:rPr>
          <w:rFonts w:ascii="仿宋_GB2312" w:eastAsia="仿宋_GB2312" w:hAnsi="FangSong_GB2312" w:cs="FangSong_GB2312" w:hint="eastAsia"/>
          <w:color w:val="000000"/>
          <w:kern w:val="0"/>
          <w:sz w:val="32"/>
          <w:szCs w:val="32"/>
        </w:rPr>
        <w:t>可改进之处</w:t>
      </w:r>
      <w:r w:rsidR="00703178">
        <w:rPr>
          <w:rFonts w:ascii="仿宋_GB2312" w:eastAsia="仿宋_GB2312" w:hAnsi="FangSong_GB2312" w:cs="FangSong_GB2312" w:hint="eastAsia"/>
          <w:color w:val="000000"/>
          <w:kern w:val="0"/>
          <w:sz w:val="32"/>
          <w:szCs w:val="32"/>
        </w:rPr>
        <w:t>。</w:t>
      </w:r>
      <w:r w:rsidR="00057566" w:rsidRPr="006E0067">
        <w:rPr>
          <w:rFonts w:ascii="仿宋_GB2312" w:eastAsia="仿宋_GB2312" w:hAnsi="FangSong_GB2312" w:cs="FangSong_GB2312" w:hint="eastAsia"/>
          <w:color w:val="000000"/>
          <w:kern w:val="0"/>
          <w:sz w:val="32"/>
          <w:szCs w:val="32"/>
        </w:rPr>
        <w:t>（</w:t>
      </w:r>
      <w:r w:rsidR="006E0A22">
        <w:rPr>
          <w:rFonts w:ascii="仿宋_GB2312" w:eastAsia="仿宋_GB2312" w:hAnsi="FangSong_GB2312" w:cs="FangSong_GB2312" w:hint="eastAsia"/>
          <w:color w:val="000000"/>
          <w:kern w:val="0"/>
          <w:sz w:val="32"/>
          <w:szCs w:val="32"/>
        </w:rPr>
        <w:t>包括</w:t>
      </w:r>
      <w:r w:rsidRPr="006E0067">
        <w:rPr>
          <w:rFonts w:ascii="仿宋_GB2312" w:eastAsia="仿宋_GB2312" w:hAnsi="FangSong_GB2312" w:cs="FangSong_GB2312" w:hint="eastAsia"/>
          <w:color w:val="000000"/>
          <w:kern w:val="0"/>
          <w:sz w:val="32"/>
          <w:szCs w:val="32"/>
        </w:rPr>
        <w:t>市场内交易和市场间交易的顺序，以及协调机制</w:t>
      </w:r>
      <w:r w:rsidR="006E0A22">
        <w:rPr>
          <w:rFonts w:ascii="仿宋_GB2312" w:eastAsia="仿宋_GB2312" w:hAnsi="FangSong_GB2312" w:cs="FangSong_GB2312" w:hint="eastAsia"/>
          <w:color w:val="000000"/>
          <w:kern w:val="0"/>
          <w:sz w:val="32"/>
          <w:szCs w:val="32"/>
        </w:rPr>
        <w:t>等</w:t>
      </w:r>
      <w:r w:rsidR="00057566" w:rsidRPr="006E0067">
        <w:rPr>
          <w:rFonts w:ascii="仿宋_GB2312" w:eastAsia="仿宋_GB2312" w:hAnsi="FangSong_GB2312" w:cs="FangSong_GB2312" w:hint="eastAsia"/>
          <w:color w:val="000000"/>
          <w:kern w:val="0"/>
          <w:sz w:val="32"/>
          <w:szCs w:val="32"/>
        </w:rPr>
        <w:t>）</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11</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所在市场覆盖省区发电计划放开情况，包括放开机组类型、规模、占全省统调发电计划/全社会用电量比重等，现有的交易规则能否支撑发电计划继续放开？</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12</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是否近期有交易规则修订、修编计划，主要修订内容、目标及组织单位。（如无此情况，请填写无，现货试点区域填写交易规则编制进度及相关规则更新情况）</w:t>
      </w:r>
      <w:r w:rsidRPr="006E0067">
        <w:rPr>
          <w:rFonts w:ascii="仿宋_GB2312" w:eastAsia="仿宋_GB2312" w:hAnsi="FangSong_GB2312" w:cs="FangSong_GB2312" w:hint="eastAsia"/>
          <w:color w:val="000000"/>
          <w:kern w:val="0"/>
          <w:sz w:val="32"/>
          <w:szCs w:val="32"/>
        </w:rPr>
        <w:tab/>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13</w:t>
      </w:r>
      <w:r w:rsidR="001812E8" w:rsidRPr="006E0067">
        <w:rPr>
          <w:rFonts w:ascii="仿宋_GB2312" w:eastAsia="仿宋_GB2312" w:hAnsi="FangSong_GB2312" w:cs="FangSong_GB2312" w:hint="eastAsia"/>
          <w:color w:val="000000"/>
          <w:kern w:val="0"/>
          <w:sz w:val="32"/>
          <w:szCs w:val="32"/>
        </w:rPr>
        <w:t>.</w:t>
      </w:r>
      <w:r w:rsidRPr="006E0067">
        <w:rPr>
          <w:rFonts w:ascii="仿宋_GB2312" w:eastAsia="仿宋_GB2312" w:hAnsi="FangSong_GB2312" w:cs="FangSong_GB2312" w:hint="eastAsia"/>
          <w:color w:val="000000"/>
          <w:kern w:val="0"/>
          <w:sz w:val="32"/>
          <w:szCs w:val="32"/>
        </w:rPr>
        <w:t>对电力交易规则制定、修改、完善工作的意见建议。</w:t>
      </w:r>
    </w:p>
    <w:p w:rsidR="007B19D7" w:rsidRPr="006E0067" w:rsidRDefault="00A11A63" w:rsidP="001812E8">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14</w:t>
      </w:r>
      <w:r w:rsidR="001812E8" w:rsidRPr="006E0067">
        <w:rPr>
          <w:rFonts w:ascii="仿宋_GB2312" w:eastAsia="仿宋_GB2312" w:hAnsi="FangSong_GB2312" w:cs="FangSong_GB2312" w:hint="eastAsia"/>
          <w:color w:val="000000"/>
          <w:kern w:val="0"/>
          <w:sz w:val="32"/>
          <w:szCs w:val="32"/>
        </w:rPr>
        <w:t>.</w:t>
      </w:r>
      <w:r w:rsidR="00057566" w:rsidRPr="006E0067">
        <w:rPr>
          <w:rFonts w:ascii="仿宋_GB2312" w:eastAsia="仿宋_GB2312" w:hAnsi="FangSong_GB2312" w:cs="FangSong_GB2312" w:hint="eastAsia"/>
          <w:color w:val="000000"/>
          <w:kern w:val="0"/>
          <w:sz w:val="32"/>
          <w:szCs w:val="32"/>
        </w:rPr>
        <w:t>介绍</w:t>
      </w:r>
      <w:r w:rsidR="00C93A4E">
        <w:rPr>
          <w:rFonts w:ascii="仿宋_GB2312" w:eastAsia="仿宋_GB2312" w:hAnsi="FangSong_GB2312" w:cs="FangSong_GB2312" w:hint="eastAsia"/>
          <w:color w:val="000000"/>
          <w:kern w:val="0"/>
          <w:sz w:val="32"/>
          <w:szCs w:val="32"/>
        </w:rPr>
        <w:t>所在</w:t>
      </w:r>
      <w:r w:rsidR="00057566" w:rsidRPr="006E0067">
        <w:rPr>
          <w:rFonts w:ascii="仿宋_GB2312" w:eastAsia="仿宋_GB2312" w:hAnsi="FangSong_GB2312" w:cs="FangSong_GB2312" w:hint="eastAsia"/>
          <w:color w:val="000000"/>
          <w:kern w:val="0"/>
          <w:sz w:val="32"/>
          <w:szCs w:val="32"/>
        </w:rPr>
        <w:t>市场</w:t>
      </w:r>
      <w:r w:rsidR="00154605">
        <w:rPr>
          <w:rFonts w:ascii="仿宋_GB2312" w:eastAsia="仿宋_GB2312" w:hAnsi="FangSong_GB2312" w:cs="FangSong_GB2312" w:hint="eastAsia"/>
          <w:color w:val="000000"/>
          <w:kern w:val="0"/>
          <w:sz w:val="32"/>
          <w:szCs w:val="32"/>
        </w:rPr>
        <w:t>较好的经验和做法</w:t>
      </w:r>
      <w:r w:rsidR="00057566" w:rsidRPr="006E0067">
        <w:rPr>
          <w:rFonts w:ascii="仿宋_GB2312" w:eastAsia="仿宋_GB2312" w:hAnsi="FangSong_GB2312" w:cs="FangSong_GB2312" w:hint="eastAsia"/>
          <w:color w:val="000000"/>
          <w:kern w:val="0"/>
          <w:sz w:val="32"/>
          <w:szCs w:val="32"/>
        </w:rPr>
        <w:t>。</w:t>
      </w:r>
    </w:p>
    <w:p w:rsidR="00057566" w:rsidRPr="006E0067" w:rsidRDefault="00057566" w:rsidP="00057566">
      <w:pPr>
        <w:widowControl/>
        <w:ind w:firstLineChars="200" w:firstLine="640"/>
        <w:textAlignment w:val="center"/>
        <w:rPr>
          <w:rFonts w:ascii="仿宋_GB2312" w:eastAsia="仿宋_GB2312" w:hAnsi="FangSong_GB2312" w:cs="FangSong_GB2312" w:hint="eastAsia"/>
          <w:color w:val="000000"/>
          <w:kern w:val="0"/>
          <w:sz w:val="32"/>
          <w:szCs w:val="32"/>
        </w:rPr>
      </w:pPr>
      <w:r w:rsidRPr="006E0067">
        <w:rPr>
          <w:rFonts w:ascii="仿宋_GB2312" w:eastAsia="仿宋_GB2312" w:hAnsi="FangSong_GB2312" w:cs="FangSong_GB2312" w:hint="eastAsia"/>
          <w:color w:val="000000"/>
          <w:kern w:val="0"/>
          <w:sz w:val="32"/>
          <w:szCs w:val="32"/>
        </w:rPr>
        <w:t>15.其他未尽事宜说明。（如无，请填写无）</w:t>
      </w:r>
    </w:p>
    <w:p w:rsidR="007B19D7" w:rsidRDefault="007B19D7">
      <w:pPr>
        <w:widowControl/>
        <w:jc w:val="center"/>
        <w:textAlignment w:val="center"/>
        <w:rPr>
          <w:rFonts w:ascii="SimSun" w:hAnsi="SimSun" w:cs="SimSun"/>
          <w:color w:val="000000"/>
          <w:kern w:val="0"/>
          <w:sz w:val="36"/>
          <w:szCs w:val="36"/>
        </w:rPr>
      </w:pPr>
    </w:p>
    <w:p w:rsidR="007B19D7" w:rsidRPr="007D6A61" w:rsidRDefault="007B19D7">
      <w:pPr>
        <w:rPr>
          <w:rFonts w:eastAsiaTheme="minorEastAsia"/>
          <w:sz w:val="32"/>
          <w:szCs w:val="32"/>
        </w:rPr>
      </w:pPr>
    </w:p>
    <w:tbl>
      <w:tblPr>
        <w:tblpPr w:leftFromText="180" w:rightFromText="180" w:vertAnchor="text" w:horzAnchor="page" w:tblpX="1875" w:tblpY="14"/>
        <w:tblOverlap w:val="never"/>
        <w:tblW w:w="7776" w:type="dxa"/>
        <w:tblLayout w:type="fixed"/>
        <w:tblCellMar>
          <w:top w:w="15" w:type="dxa"/>
          <w:left w:w="15" w:type="dxa"/>
          <w:bottom w:w="15" w:type="dxa"/>
          <w:right w:w="15" w:type="dxa"/>
        </w:tblCellMar>
        <w:tblLook w:val="04A0"/>
      </w:tblPr>
      <w:tblGrid>
        <w:gridCol w:w="1641"/>
        <w:gridCol w:w="3434"/>
        <w:gridCol w:w="2425"/>
        <w:gridCol w:w="276"/>
      </w:tblGrid>
      <w:tr w:rsidR="007B19D7" w:rsidTr="001812E8">
        <w:trPr>
          <w:cantSplit/>
          <w:trHeight w:val="23"/>
        </w:trPr>
        <w:tc>
          <w:tcPr>
            <w:tcW w:w="1641"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sz w:val="18"/>
                <w:szCs w:val="18"/>
              </w:rPr>
            </w:pPr>
            <w:r>
              <w:rPr>
                <w:rFonts w:ascii="SimSun" w:hAnsi="SimSun" w:cs="SimSun" w:hint="eastAsia"/>
                <w:b/>
                <w:bCs/>
                <w:color w:val="000000"/>
                <w:kern w:val="0"/>
                <w:sz w:val="18"/>
                <w:szCs w:val="18"/>
              </w:rPr>
              <w:t>填报人</w:t>
            </w:r>
            <w:r w:rsidRPr="001812E8">
              <w:rPr>
                <w:rFonts w:ascii="SimSun" w:hAnsi="SimSun" w:cs="SimSun" w:hint="eastAsia"/>
                <w:b/>
                <w:bCs/>
                <w:color w:val="000000"/>
                <w:kern w:val="0"/>
                <w:sz w:val="18"/>
                <w:szCs w:val="18"/>
              </w:rPr>
              <w:t>姓名：</w:t>
            </w:r>
          </w:p>
        </w:tc>
        <w:tc>
          <w:tcPr>
            <w:tcW w:w="3434" w:type="dxa"/>
            <w:tcBorders>
              <w:top w:val="nil"/>
              <w:left w:val="nil"/>
              <w:bottom w:val="nil"/>
              <w:right w:val="nil"/>
            </w:tcBorders>
            <w:vAlign w:val="center"/>
          </w:tcPr>
          <w:p w:rsidR="007B19D7" w:rsidRPr="001812E8" w:rsidRDefault="007B19D7">
            <w:pPr>
              <w:widowControl/>
              <w:adjustRightInd w:val="0"/>
              <w:snapToGrid w:val="0"/>
              <w:textAlignment w:val="center"/>
              <w:rPr>
                <w:rFonts w:ascii="SimSun" w:hAnsi="SimSun" w:cs="SimSun"/>
                <w:b/>
                <w:bCs/>
                <w:color w:val="000000"/>
                <w:sz w:val="18"/>
                <w:szCs w:val="18"/>
              </w:rPr>
            </w:pPr>
          </w:p>
        </w:tc>
        <w:tc>
          <w:tcPr>
            <w:tcW w:w="2425"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sz w:val="18"/>
                <w:szCs w:val="18"/>
              </w:rPr>
            </w:pPr>
            <w:r w:rsidRPr="001812E8">
              <w:rPr>
                <w:rFonts w:ascii="SimSun" w:hAnsi="SimSun" w:cs="SimSun" w:hint="eastAsia"/>
                <w:b/>
                <w:bCs/>
                <w:color w:val="000000"/>
                <w:sz w:val="18"/>
                <w:szCs w:val="18"/>
              </w:rPr>
              <w:t>所在单位及职务：</w:t>
            </w:r>
          </w:p>
        </w:tc>
        <w:tc>
          <w:tcPr>
            <w:tcW w:w="276" w:type="dxa"/>
            <w:tcBorders>
              <w:top w:val="nil"/>
              <w:left w:val="nil"/>
              <w:bottom w:val="nil"/>
              <w:right w:val="nil"/>
            </w:tcBorders>
            <w:vAlign w:val="center"/>
          </w:tcPr>
          <w:p w:rsidR="007B19D7" w:rsidRPr="001812E8" w:rsidRDefault="007B19D7">
            <w:pPr>
              <w:widowControl/>
              <w:adjustRightInd w:val="0"/>
              <w:snapToGrid w:val="0"/>
              <w:rPr>
                <w:rFonts w:ascii="SimSun" w:hAnsi="SimSun" w:cs="SimSun"/>
                <w:b/>
                <w:bCs/>
                <w:color w:val="000000"/>
                <w:sz w:val="18"/>
                <w:szCs w:val="18"/>
              </w:rPr>
            </w:pPr>
          </w:p>
        </w:tc>
      </w:tr>
      <w:tr w:rsidR="007B19D7" w:rsidTr="001812E8">
        <w:trPr>
          <w:cantSplit/>
          <w:trHeight w:val="23"/>
        </w:trPr>
        <w:tc>
          <w:tcPr>
            <w:tcW w:w="1641"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kern w:val="0"/>
                <w:sz w:val="18"/>
                <w:szCs w:val="18"/>
              </w:rPr>
            </w:pPr>
            <w:r w:rsidRPr="001812E8">
              <w:rPr>
                <w:rFonts w:ascii="SimSun" w:hAnsi="SimSun" w:cs="SimSun" w:hint="eastAsia"/>
                <w:b/>
                <w:bCs/>
                <w:color w:val="000000"/>
                <w:kern w:val="0"/>
                <w:sz w:val="18"/>
                <w:szCs w:val="18"/>
              </w:rPr>
              <w:t>办公座机：</w:t>
            </w:r>
          </w:p>
        </w:tc>
        <w:tc>
          <w:tcPr>
            <w:tcW w:w="3434" w:type="dxa"/>
            <w:tcBorders>
              <w:top w:val="nil"/>
              <w:left w:val="nil"/>
              <w:bottom w:val="nil"/>
              <w:right w:val="nil"/>
            </w:tcBorders>
            <w:vAlign w:val="center"/>
          </w:tcPr>
          <w:p w:rsidR="007B19D7" w:rsidRPr="001812E8" w:rsidRDefault="007B19D7">
            <w:pPr>
              <w:widowControl/>
              <w:adjustRightInd w:val="0"/>
              <w:snapToGrid w:val="0"/>
              <w:textAlignment w:val="center"/>
              <w:rPr>
                <w:rFonts w:ascii="SimSun" w:hAnsi="SimSun" w:cs="SimSun"/>
                <w:b/>
                <w:bCs/>
                <w:color w:val="000000"/>
                <w:sz w:val="18"/>
                <w:szCs w:val="18"/>
              </w:rPr>
            </w:pPr>
          </w:p>
        </w:tc>
        <w:tc>
          <w:tcPr>
            <w:tcW w:w="2425"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sz w:val="18"/>
                <w:szCs w:val="18"/>
              </w:rPr>
            </w:pPr>
            <w:r w:rsidRPr="001812E8">
              <w:rPr>
                <w:rFonts w:ascii="SimSun" w:hAnsi="SimSun" w:cs="SimSun" w:hint="eastAsia"/>
                <w:b/>
                <w:bCs/>
                <w:color w:val="000000"/>
                <w:sz w:val="18"/>
                <w:szCs w:val="18"/>
              </w:rPr>
              <w:t>移</w:t>
            </w:r>
            <w:r w:rsidRPr="001812E8">
              <w:rPr>
                <w:rFonts w:ascii="SimSun" w:hAnsi="SimSun" w:cs="SimSun"/>
                <w:b/>
                <w:bCs/>
                <w:color w:val="000000"/>
                <w:sz w:val="18"/>
                <w:szCs w:val="18"/>
              </w:rPr>
              <w:t xml:space="preserve">  </w:t>
            </w:r>
            <w:r w:rsidRPr="001812E8">
              <w:rPr>
                <w:rFonts w:ascii="SimSun" w:hAnsi="SimSun" w:cs="SimSun" w:hint="eastAsia"/>
                <w:b/>
                <w:bCs/>
                <w:color w:val="000000"/>
                <w:sz w:val="18"/>
                <w:szCs w:val="18"/>
              </w:rPr>
              <w:t>动</w:t>
            </w:r>
            <w:r w:rsidRPr="001812E8">
              <w:rPr>
                <w:rFonts w:ascii="SimSun" w:hAnsi="SimSun" w:cs="SimSun"/>
                <w:b/>
                <w:bCs/>
                <w:color w:val="000000"/>
                <w:sz w:val="18"/>
                <w:szCs w:val="18"/>
              </w:rPr>
              <w:t xml:space="preserve">  </w:t>
            </w:r>
            <w:r w:rsidRPr="001812E8">
              <w:rPr>
                <w:rFonts w:ascii="SimSun" w:hAnsi="SimSun" w:cs="SimSun" w:hint="eastAsia"/>
                <w:b/>
                <w:bCs/>
                <w:color w:val="000000"/>
                <w:sz w:val="18"/>
                <w:szCs w:val="18"/>
              </w:rPr>
              <w:t>电</w:t>
            </w:r>
            <w:r w:rsidRPr="001812E8">
              <w:rPr>
                <w:rFonts w:ascii="SimSun" w:hAnsi="SimSun" w:cs="SimSun"/>
                <w:b/>
                <w:bCs/>
                <w:color w:val="000000"/>
                <w:sz w:val="18"/>
                <w:szCs w:val="18"/>
              </w:rPr>
              <w:t xml:space="preserve">  </w:t>
            </w:r>
            <w:r w:rsidRPr="001812E8">
              <w:rPr>
                <w:rFonts w:ascii="SimSun" w:hAnsi="SimSun" w:cs="SimSun" w:hint="eastAsia"/>
                <w:b/>
                <w:bCs/>
                <w:color w:val="000000"/>
                <w:sz w:val="18"/>
                <w:szCs w:val="18"/>
              </w:rPr>
              <w:t>话：</w:t>
            </w:r>
          </w:p>
        </w:tc>
        <w:tc>
          <w:tcPr>
            <w:tcW w:w="276" w:type="dxa"/>
            <w:tcBorders>
              <w:top w:val="nil"/>
              <w:left w:val="nil"/>
              <w:bottom w:val="nil"/>
              <w:right w:val="nil"/>
            </w:tcBorders>
            <w:vAlign w:val="center"/>
          </w:tcPr>
          <w:p w:rsidR="007B19D7" w:rsidRPr="001812E8" w:rsidRDefault="007B19D7">
            <w:pPr>
              <w:widowControl/>
              <w:adjustRightInd w:val="0"/>
              <w:snapToGrid w:val="0"/>
              <w:rPr>
                <w:rFonts w:ascii="SimSun" w:hAnsi="SimSun" w:cs="SimSun"/>
                <w:b/>
                <w:bCs/>
                <w:color w:val="000000"/>
                <w:kern w:val="0"/>
                <w:sz w:val="18"/>
                <w:szCs w:val="18"/>
              </w:rPr>
            </w:pPr>
          </w:p>
        </w:tc>
      </w:tr>
      <w:tr w:rsidR="007B19D7" w:rsidTr="001812E8">
        <w:trPr>
          <w:cantSplit/>
          <w:trHeight w:val="23"/>
        </w:trPr>
        <w:tc>
          <w:tcPr>
            <w:tcW w:w="1641"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kern w:val="0"/>
                <w:sz w:val="18"/>
                <w:szCs w:val="18"/>
              </w:rPr>
            </w:pPr>
            <w:r w:rsidRPr="001812E8">
              <w:rPr>
                <w:rFonts w:ascii="SimSun" w:hAnsi="SimSun" w:cs="SimSun" w:hint="eastAsia"/>
                <w:b/>
                <w:bCs/>
                <w:color w:val="000000"/>
                <w:kern w:val="0"/>
                <w:sz w:val="18"/>
                <w:szCs w:val="18"/>
              </w:rPr>
              <w:t>电子邮箱：</w:t>
            </w:r>
          </w:p>
        </w:tc>
        <w:tc>
          <w:tcPr>
            <w:tcW w:w="3434" w:type="dxa"/>
            <w:tcBorders>
              <w:top w:val="nil"/>
              <w:left w:val="nil"/>
              <w:bottom w:val="nil"/>
              <w:right w:val="nil"/>
            </w:tcBorders>
            <w:vAlign w:val="center"/>
          </w:tcPr>
          <w:p w:rsidR="007B19D7" w:rsidRPr="001812E8" w:rsidRDefault="007B19D7">
            <w:pPr>
              <w:widowControl/>
              <w:adjustRightInd w:val="0"/>
              <w:snapToGrid w:val="0"/>
              <w:textAlignment w:val="center"/>
              <w:rPr>
                <w:rFonts w:ascii="SimSun" w:hAnsi="SimSun" w:cs="SimSun"/>
                <w:b/>
                <w:bCs/>
                <w:color w:val="000000"/>
                <w:sz w:val="18"/>
                <w:szCs w:val="18"/>
              </w:rPr>
            </w:pPr>
          </w:p>
        </w:tc>
        <w:tc>
          <w:tcPr>
            <w:tcW w:w="2425"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sz w:val="18"/>
                <w:szCs w:val="18"/>
              </w:rPr>
            </w:pPr>
            <w:r w:rsidRPr="001812E8">
              <w:rPr>
                <w:rFonts w:ascii="SimSun" w:hAnsi="SimSun" w:cs="SimSun" w:hint="eastAsia"/>
                <w:b/>
                <w:bCs/>
                <w:color w:val="000000"/>
                <w:sz w:val="18"/>
                <w:szCs w:val="18"/>
              </w:rPr>
              <w:t>传</w:t>
            </w:r>
            <w:r w:rsidRPr="001812E8">
              <w:rPr>
                <w:rFonts w:ascii="SimSun" w:hAnsi="SimSun" w:cs="SimSun"/>
                <w:b/>
                <w:bCs/>
                <w:color w:val="000000"/>
                <w:sz w:val="18"/>
                <w:szCs w:val="18"/>
              </w:rPr>
              <w:t xml:space="preserve">          </w:t>
            </w:r>
            <w:r w:rsidRPr="001812E8">
              <w:rPr>
                <w:rFonts w:ascii="SimSun" w:hAnsi="SimSun" w:cs="SimSun" w:hint="eastAsia"/>
                <w:b/>
                <w:bCs/>
                <w:color w:val="000000"/>
                <w:sz w:val="18"/>
                <w:szCs w:val="18"/>
              </w:rPr>
              <w:t>真：</w:t>
            </w:r>
          </w:p>
        </w:tc>
        <w:tc>
          <w:tcPr>
            <w:tcW w:w="276" w:type="dxa"/>
            <w:tcBorders>
              <w:top w:val="nil"/>
              <w:left w:val="nil"/>
              <w:bottom w:val="nil"/>
              <w:right w:val="nil"/>
            </w:tcBorders>
            <w:vAlign w:val="center"/>
          </w:tcPr>
          <w:p w:rsidR="007B19D7" w:rsidRPr="001812E8" w:rsidRDefault="007B19D7">
            <w:pPr>
              <w:widowControl/>
              <w:adjustRightInd w:val="0"/>
              <w:snapToGrid w:val="0"/>
              <w:rPr>
                <w:rFonts w:ascii="SimSun" w:hAnsi="SimSun" w:cs="SimSun"/>
                <w:b/>
                <w:bCs/>
                <w:color w:val="000000"/>
                <w:kern w:val="0"/>
                <w:sz w:val="18"/>
                <w:szCs w:val="18"/>
              </w:rPr>
            </w:pPr>
          </w:p>
        </w:tc>
      </w:tr>
      <w:tr w:rsidR="007B19D7" w:rsidTr="001812E8">
        <w:trPr>
          <w:cantSplit/>
          <w:trHeight w:val="338"/>
        </w:trPr>
        <w:tc>
          <w:tcPr>
            <w:tcW w:w="1641"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kern w:val="0"/>
                <w:sz w:val="18"/>
                <w:szCs w:val="18"/>
              </w:rPr>
            </w:pPr>
            <w:r w:rsidRPr="001812E8">
              <w:rPr>
                <w:rFonts w:ascii="SimSun" w:hAnsi="SimSun" w:cs="SimSun" w:hint="eastAsia"/>
                <w:b/>
                <w:bCs/>
                <w:color w:val="000000"/>
                <w:kern w:val="0"/>
                <w:sz w:val="18"/>
                <w:szCs w:val="18"/>
              </w:rPr>
              <w:t>紧急联系人座机：</w:t>
            </w:r>
          </w:p>
        </w:tc>
        <w:tc>
          <w:tcPr>
            <w:tcW w:w="3434" w:type="dxa"/>
            <w:tcBorders>
              <w:top w:val="nil"/>
              <w:left w:val="nil"/>
              <w:bottom w:val="nil"/>
              <w:right w:val="nil"/>
            </w:tcBorders>
            <w:vAlign w:val="center"/>
          </w:tcPr>
          <w:p w:rsidR="007B19D7" w:rsidRPr="001812E8" w:rsidRDefault="007B19D7">
            <w:pPr>
              <w:widowControl/>
              <w:adjustRightInd w:val="0"/>
              <w:snapToGrid w:val="0"/>
              <w:textAlignment w:val="center"/>
              <w:rPr>
                <w:rFonts w:ascii="SimSun" w:hAnsi="SimSun" w:cs="SimSun"/>
                <w:b/>
                <w:bCs/>
                <w:color w:val="000000"/>
                <w:sz w:val="18"/>
                <w:szCs w:val="18"/>
              </w:rPr>
            </w:pPr>
          </w:p>
        </w:tc>
        <w:tc>
          <w:tcPr>
            <w:tcW w:w="2425" w:type="dxa"/>
            <w:tcBorders>
              <w:top w:val="nil"/>
              <w:left w:val="nil"/>
              <w:bottom w:val="nil"/>
              <w:right w:val="nil"/>
            </w:tcBorders>
            <w:vAlign w:val="center"/>
          </w:tcPr>
          <w:p w:rsidR="007B19D7" w:rsidRPr="001812E8" w:rsidRDefault="00A11A63">
            <w:pPr>
              <w:widowControl/>
              <w:adjustRightInd w:val="0"/>
              <w:snapToGrid w:val="0"/>
              <w:textAlignment w:val="center"/>
              <w:rPr>
                <w:rFonts w:ascii="SimSun" w:hAnsi="SimSun" w:cs="SimSun"/>
                <w:b/>
                <w:bCs/>
                <w:color w:val="000000"/>
                <w:sz w:val="18"/>
                <w:szCs w:val="18"/>
              </w:rPr>
            </w:pPr>
            <w:r w:rsidRPr="001812E8">
              <w:rPr>
                <w:rFonts w:ascii="SimSun" w:hAnsi="SimSun" w:cs="SimSun" w:hint="eastAsia"/>
                <w:b/>
                <w:bCs/>
                <w:color w:val="000000"/>
                <w:sz w:val="18"/>
                <w:szCs w:val="18"/>
              </w:rPr>
              <w:t>紧急联系人移动电话：</w:t>
            </w:r>
          </w:p>
        </w:tc>
        <w:tc>
          <w:tcPr>
            <w:tcW w:w="276" w:type="dxa"/>
            <w:tcBorders>
              <w:top w:val="nil"/>
              <w:left w:val="nil"/>
              <w:bottom w:val="nil"/>
              <w:right w:val="nil"/>
            </w:tcBorders>
            <w:vAlign w:val="center"/>
          </w:tcPr>
          <w:p w:rsidR="007B19D7" w:rsidRPr="001812E8" w:rsidRDefault="007B19D7">
            <w:pPr>
              <w:widowControl/>
              <w:adjustRightInd w:val="0"/>
              <w:snapToGrid w:val="0"/>
              <w:rPr>
                <w:rFonts w:ascii="SimSun" w:hAnsi="SimSun" w:cs="SimSun"/>
                <w:b/>
                <w:bCs/>
                <w:color w:val="000000"/>
                <w:kern w:val="0"/>
                <w:sz w:val="18"/>
                <w:szCs w:val="18"/>
              </w:rPr>
            </w:pPr>
          </w:p>
        </w:tc>
      </w:tr>
    </w:tbl>
    <w:p w:rsidR="007B19D7" w:rsidRPr="00675731" w:rsidRDefault="007B19D7" w:rsidP="007D6A61">
      <w:pPr>
        <w:rPr>
          <w:rFonts w:eastAsiaTheme="minorEastAsia"/>
          <w:sz w:val="32"/>
          <w:szCs w:val="32"/>
        </w:rPr>
      </w:pPr>
    </w:p>
    <w:sectPr w:rsidR="007B19D7" w:rsidRPr="00675731" w:rsidSect="00565EF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361" w:left="1797"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7E" w:rsidRDefault="00C5727E">
      <w:r>
        <w:separator/>
      </w:r>
    </w:p>
  </w:endnote>
  <w:endnote w:type="continuationSeparator" w:id="1">
    <w:p w:rsidR="00C5727E" w:rsidRDefault="00C57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3" w:rsidRDefault="00565E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391"/>
      <w:docPartObj>
        <w:docPartGallery w:val="Page Numbers (Bottom of Page)"/>
        <w:docPartUnique/>
      </w:docPartObj>
    </w:sdtPr>
    <w:sdtEndPr>
      <w:rPr>
        <w:rFonts w:ascii="Times New Roman" w:hAnsi="Times New Roman"/>
        <w:sz w:val="24"/>
      </w:rPr>
    </w:sdtEndPr>
    <w:sdtContent>
      <w:p w:rsidR="00565EF3" w:rsidRDefault="00B507C3">
        <w:pPr>
          <w:pStyle w:val="a4"/>
          <w:jc w:val="center"/>
        </w:pPr>
        <w:r w:rsidRPr="009A764A">
          <w:rPr>
            <w:rFonts w:ascii="Times New Roman" w:hAnsi="Times New Roman"/>
            <w:sz w:val="24"/>
          </w:rPr>
          <w:fldChar w:fldCharType="begin"/>
        </w:r>
        <w:r w:rsidR="00EE4BA6" w:rsidRPr="009A764A">
          <w:rPr>
            <w:rFonts w:ascii="Times New Roman" w:hAnsi="Times New Roman"/>
            <w:sz w:val="24"/>
          </w:rPr>
          <w:instrText xml:space="preserve"> PAGE   \* MERGEFORMAT </w:instrText>
        </w:r>
        <w:r w:rsidRPr="009A764A">
          <w:rPr>
            <w:rFonts w:ascii="Times New Roman" w:hAnsi="Times New Roman"/>
            <w:sz w:val="24"/>
          </w:rPr>
          <w:fldChar w:fldCharType="separate"/>
        </w:r>
        <w:r w:rsidR="0067573A" w:rsidRPr="0067573A">
          <w:rPr>
            <w:rFonts w:ascii="Times New Roman" w:hAnsi="Times New Roman"/>
            <w:noProof/>
            <w:sz w:val="24"/>
            <w:lang w:val="zh-CN"/>
          </w:rPr>
          <w:t>6</w:t>
        </w:r>
        <w:r w:rsidRPr="009A764A">
          <w:rPr>
            <w:rFonts w:ascii="Times New Roman" w:hAnsi="Times New Roman"/>
            <w:sz w:val="24"/>
          </w:rPr>
          <w:fldChar w:fldCharType="end"/>
        </w:r>
      </w:p>
    </w:sdtContent>
  </w:sdt>
  <w:p w:rsidR="007B19D7" w:rsidRPr="00565EF3" w:rsidRDefault="007B19D7" w:rsidP="00565EF3">
    <w:pPr>
      <w:pStyle w:val="a4"/>
      <w:tabs>
        <w:tab w:val="clear" w:pos="4153"/>
        <w:tab w:val="clear" w:pos="8306"/>
        <w:tab w:val="center" w:pos="4156"/>
      </w:tabs>
      <w:rPr>
        <w:rFonts w:eastAsiaTheme="minor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3" w:rsidRDefault="00565E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7E" w:rsidRDefault="00C5727E">
      <w:r>
        <w:separator/>
      </w:r>
    </w:p>
  </w:footnote>
  <w:footnote w:type="continuationSeparator" w:id="1">
    <w:p w:rsidR="00C5727E" w:rsidRDefault="00C5727E">
      <w:r>
        <w:continuationSeparator/>
      </w:r>
    </w:p>
  </w:footnote>
  <w:footnote w:id="2">
    <w:p w:rsidR="007B19D7" w:rsidRDefault="00A11A63">
      <w:pPr>
        <w:pStyle w:val="a6"/>
      </w:pPr>
      <w:r>
        <w:rPr>
          <w:rStyle w:val="a7"/>
        </w:rPr>
        <w:footnoteRef/>
      </w:r>
      <w:r>
        <w:t xml:space="preserve"> </w:t>
      </w:r>
      <w:r>
        <w:rPr>
          <w:rFonts w:hint="eastAsia"/>
        </w:rPr>
        <w:t>包含交易规则及实际发挥交易规则功能的交易方案、补充通知等。如预留空格不够，可自行扩充，下同。</w:t>
      </w:r>
    </w:p>
  </w:footnote>
  <w:footnote w:id="3">
    <w:p w:rsidR="007B19D7" w:rsidRDefault="00A11A63">
      <w:pPr>
        <w:pStyle w:val="a6"/>
      </w:pPr>
      <w:r>
        <w:rPr>
          <w:rStyle w:val="a7"/>
        </w:rPr>
        <w:footnoteRef/>
      </w:r>
      <w:r>
        <w:t xml:space="preserve"> </w:t>
      </w:r>
      <w:r w:rsidRPr="001812E8">
        <w:rPr>
          <w:rFonts w:hint="eastAsia"/>
        </w:rPr>
        <w:t>表中电量、价格、电费量纲为兆瓦时、元</w:t>
      </w:r>
      <w:r w:rsidRPr="001812E8">
        <w:t>/</w:t>
      </w:r>
      <w:r w:rsidRPr="001812E8">
        <w:t>兆瓦时、万元</w:t>
      </w:r>
      <w:r>
        <w:rPr>
          <w:rFonts w:hint="eastAsia"/>
        </w:rPr>
        <w:t>，下同</w:t>
      </w:r>
      <w:r w:rsidRPr="001812E8">
        <w:rPr>
          <w:rFonts w:hint="eastAsia"/>
        </w:rPr>
        <w:t>。</w:t>
      </w:r>
    </w:p>
  </w:footnote>
  <w:footnote w:id="4">
    <w:p w:rsidR="007B19D7" w:rsidRDefault="00A11A63">
      <w:pPr>
        <w:pStyle w:val="a6"/>
      </w:pPr>
      <w:r>
        <w:rPr>
          <w:rStyle w:val="a7"/>
        </w:rPr>
        <w:footnoteRef/>
      </w:r>
      <w:r>
        <w:t xml:space="preserve"> </w:t>
      </w:r>
      <w:r>
        <w:rPr>
          <w:rFonts w:hint="eastAsia"/>
        </w:rPr>
        <w:t>准入主体包括售电公司、电网企业、发电企业、电力用户、点对网消纳的省外发电企业等。</w:t>
      </w:r>
    </w:p>
  </w:footnote>
  <w:footnote w:id="5">
    <w:p w:rsidR="007B19D7" w:rsidRDefault="00A11A63">
      <w:pPr>
        <w:pStyle w:val="a6"/>
      </w:pPr>
      <w:r>
        <w:rPr>
          <w:rStyle w:val="a7"/>
        </w:rPr>
        <w:footnoteRef/>
      </w:r>
      <w:r>
        <w:t xml:space="preserve"> </w:t>
      </w:r>
      <w:r>
        <w:rPr>
          <w:rFonts w:hint="eastAsia"/>
        </w:rPr>
        <w:t>放开计划购电主体指计划放开部分对应电量进行直接交易过程中可以参与购电的主体，包括</w:t>
      </w:r>
      <w:r w:rsidR="00E86806">
        <w:rPr>
          <w:rFonts w:eastAsiaTheme="minorEastAsia" w:hint="eastAsia"/>
        </w:rPr>
        <w:t>电力用户、</w:t>
      </w:r>
      <w:r>
        <w:rPr>
          <w:rFonts w:hint="eastAsia"/>
        </w:rPr>
        <w:t>独立售电公司、电网企业售电公司（含实际控制）、发电企业售电公司（含实际控制）、电网企业（以代理方式）、发电企业（以发电权交易方式），下同。</w:t>
      </w:r>
    </w:p>
  </w:footnote>
  <w:footnote w:id="6">
    <w:p w:rsidR="007B19D7" w:rsidRDefault="00A11A63">
      <w:pPr>
        <w:pStyle w:val="a6"/>
      </w:pPr>
      <w:r>
        <w:rPr>
          <w:rStyle w:val="a7"/>
        </w:rPr>
        <w:footnoteRef/>
      </w:r>
      <w:r>
        <w:t xml:space="preserve"> </w:t>
      </w:r>
      <w:r>
        <w:rPr>
          <w:rFonts w:hint="eastAsia"/>
        </w:rPr>
        <w:t>交易方式包括双边、集中竞价、挂牌等</w:t>
      </w:r>
      <w:r w:rsidR="00096269">
        <w:rPr>
          <w:rFonts w:eastAsiaTheme="minorEastAsia" w:hint="eastAsia"/>
        </w:rPr>
        <w:t>，</w:t>
      </w:r>
      <w:r>
        <w:rPr>
          <w:rFonts w:hint="eastAsia"/>
        </w:rPr>
        <w:t>下同。</w:t>
      </w:r>
    </w:p>
  </w:footnote>
  <w:footnote w:id="7">
    <w:p w:rsidR="007B19D7" w:rsidRDefault="00A11A63">
      <w:pPr>
        <w:pStyle w:val="a6"/>
      </w:pPr>
      <w:r>
        <w:rPr>
          <w:rStyle w:val="a7"/>
        </w:rPr>
        <w:footnoteRef/>
      </w:r>
      <w:r>
        <w:t xml:space="preserve"> </w:t>
      </w:r>
      <w:r>
        <w:rPr>
          <w:rFonts w:hint="eastAsia"/>
        </w:rPr>
        <w:t>填写格式为固定期交易</w:t>
      </w:r>
      <w:r>
        <w:rPr>
          <w:rFonts w:hint="eastAsia"/>
        </w:rPr>
        <w:t>--</w:t>
      </w:r>
      <w:r>
        <w:rPr>
          <w:rFonts w:hint="eastAsia"/>
        </w:rPr>
        <w:t>（年度、月度、年、月、周、日、日内、实时交易）、非固定期交易</w:t>
      </w:r>
      <w:r>
        <w:rPr>
          <w:rFonts w:hint="eastAsia"/>
        </w:rPr>
        <w:t>--</w:t>
      </w:r>
      <w:r>
        <w:rPr>
          <w:rFonts w:hint="eastAsia"/>
        </w:rPr>
        <w:t>（不定期、临时和连续交易（即交易中心工作日连续开市）。</w:t>
      </w:r>
    </w:p>
  </w:footnote>
  <w:footnote w:id="8">
    <w:p w:rsidR="007B19D7" w:rsidRDefault="00A11A63">
      <w:pPr>
        <w:pStyle w:val="a6"/>
      </w:pPr>
      <w:r>
        <w:rPr>
          <w:rStyle w:val="a7"/>
        </w:rPr>
        <w:footnoteRef/>
      </w:r>
      <w:r>
        <w:t xml:space="preserve"> </w:t>
      </w:r>
      <w:r>
        <w:rPr>
          <w:rFonts w:hint="eastAsia"/>
        </w:rPr>
        <w:t>集中交易出清方式包括系统边际价格出清、分区边际价格出清、价差配对等，下同。</w:t>
      </w:r>
    </w:p>
  </w:footnote>
  <w:footnote w:id="9">
    <w:p w:rsidR="007B19D7" w:rsidRDefault="00A11A63">
      <w:pPr>
        <w:pStyle w:val="a6"/>
      </w:pPr>
      <w:r>
        <w:rPr>
          <w:rStyle w:val="a7"/>
        </w:rPr>
        <w:footnoteRef/>
      </w:r>
      <w:r>
        <w:t xml:space="preserve"> </w:t>
      </w:r>
      <w:r>
        <w:rPr>
          <w:rFonts w:hint="eastAsia"/>
        </w:rPr>
        <w:t>偏差调整方式指《电力中长期交易基本规则（暂行）》中规定的调整方式。</w:t>
      </w:r>
    </w:p>
  </w:footnote>
  <w:footnote w:id="10">
    <w:p w:rsidR="007B19D7" w:rsidRDefault="00A11A63">
      <w:pPr>
        <w:pStyle w:val="a6"/>
      </w:pPr>
      <w:r>
        <w:rPr>
          <w:rStyle w:val="a7"/>
        </w:rPr>
        <w:footnoteRef/>
      </w:r>
      <w:r>
        <w:t xml:space="preserve"> </w:t>
      </w:r>
      <w:r>
        <w:rPr>
          <w:rFonts w:hint="eastAsia"/>
        </w:rPr>
        <w:t>指</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sidR="00964322">
        <w:rPr>
          <w:rFonts w:ascii="华文仿宋" w:eastAsia="华文仿宋" w:hAnsi="华文仿宋" w:hint="eastAsia"/>
        </w:rPr>
        <w:t>~</w:t>
      </w:r>
      <w:r>
        <w:rPr>
          <w:rFonts w:hint="eastAsia"/>
        </w:rPr>
        <w:t>2018</w:t>
      </w:r>
      <w:r>
        <w:rPr>
          <w:rFonts w:hint="eastAsia"/>
        </w:rPr>
        <w:t>年</w:t>
      </w:r>
      <w:r>
        <w:rPr>
          <w:rFonts w:hint="eastAsia"/>
        </w:rPr>
        <w:t>6</w:t>
      </w:r>
      <w:r>
        <w:rPr>
          <w:rFonts w:hint="eastAsia"/>
        </w:rPr>
        <w:t>月</w:t>
      </w:r>
      <w:r>
        <w:rPr>
          <w:rFonts w:hint="eastAsia"/>
        </w:rPr>
        <w:t>30</w:t>
      </w:r>
      <w:r>
        <w:rPr>
          <w:rFonts w:hint="eastAsia"/>
        </w:rPr>
        <w:t>日累计偏差产生费用的总额，时间要求下同。</w:t>
      </w:r>
    </w:p>
  </w:footnote>
  <w:footnote w:id="11">
    <w:p w:rsidR="007B19D7" w:rsidRDefault="00A11A63">
      <w:pPr>
        <w:pStyle w:val="a6"/>
      </w:pPr>
      <w:r>
        <w:rPr>
          <w:rStyle w:val="a7"/>
        </w:rPr>
        <w:footnoteRef/>
      </w:r>
      <w:r>
        <w:t xml:space="preserve"> </w:t>
      </w:r>
      <w:r>
        <w:rPr>
          <w:rFonts w:hint="eastAsia"/>
        </w:rPr>
        <w:t>偏差考核费用已经支出总额及使用名目。</w:t>
      </w:r>
    </w:p>
  </w:footnote>
  <w:footnote w:id="12">
    <w:p w:rsidR="007B19D7" w:rsidRDefault="00A11A63">
      <w:pPr>
        <w:pStyle w:val="a6"/>
      </w:pPr>
      <w:r>
        <w:rPr>
          <w:rStyle w:val="a7"/>
        </w:rPr>
        <w:footnoteRef/>
      </w:r>
      <w:r>
        <w:rPr>
          <w:rFonts w:hint="eastAsia"/>
        </w:rPr>
        <w:t>填写执行国家输配电价或按照价差传导方式收取，如填表时间存在两种方式分时段填写，下同。</w:t>
      </w:r>
    </w:p>
  </w:footnote>
  <w:footnote w:id="13">
    <w:p w:rsidR="007B19D7" w:rsidRDefault="00A11A63">
      <w:pPr>
        <w:pStyle w:val="a6"/>
      </w:pPr>
      <w:r>
        <w:rPr>
          <w:rStyle w:val="a7"/>
        </w:rPr>
        <w:footnoteRef/>
      </w:r>
      <w:r>
        <w:t xml:space="preserve"> </w:t>
      </w:r>
      <w:r>
        <w:rPr>
          <w:rFonts w:hint="eastAsia"/>
        </w:rPr>
        <w:t>在输电费外收取网损或输电费含网损，下同。</w:t>
      </w:r>
    </w:p>
  </w:footnote>
  <w:footnote w:id="14">
    <w:p w:rsidR="007B19D7" w:rsidRDefault="00A11A63">
      <w:pPr>
        <w:pStyle w:val="a6"/>
      </w:pPr>
      <w:r>
        <w:rPr>
          <w:rStyle w:val="a7"/>
        </w:rPr>
        <w:footnoteRef/>
      </w:r>
      <w:r>
        <w:t xml:space="preserve"> </w:t>
      </w:r>
      <w:r>
        <w:rPr>
          <w:rFonts w:hint="eastAsia"/>
        </w:rPr>
        <w:t>如不同交易品种限价不同按不同品种分别填写，并简单描述限价制定依据和限价水平（与核定电价相比）。</w:t>
      </w:r>
    </w:p>
  </w:footnote>
  <w:footnote w:id="15">
    <w:p w:rsidR="007B19D7" w:rsidRDefault="00A11A63">
      <w:pPr>
        <w:pStyle w:val="a6"/>
      </w:pPr>
      <w:r>
        <w:rPr>
          <w:rStyle w:val="a7"/>
        </w:rPr>
        <w:footnoteRef/>
      </w:r>
      <w:r>
        <w:t xml:space="preserve"> </w:t>
      </w:r>
      <w:r>
        <w:rPr>
          <w:rFonts w:hint="eastAsia"/>
        </w:rPr>
        <w:t>指所在市场各交易品种结算顺序，例如“优先发电电量、直接交易电量、合同转让电量……”，下同。</w:t>
      </w:r>
    </w:p>
  </w:footnote>
  <w:footnote w:id="16">
    <w:p w:rsidR="007B19D7" w:rsidRDefault="00A11A63">
      <w:pPr>
        <w:pStyle w:val="a6"/>
      </w:pPr>
      <w:r>
        <w:rPr>
          <w:rStyle w:val="a7"/>
        </w:rPr>
        <w:footnoteRef/>
      </w:r>
      <w:r>
        <w:t xml:space="preserve"> </w:t>
      </w:r>
      <w:r>
        <w:rPr>
          <w:rFonts w:hint="eastAsia"/>
        </w:rPr>
        <w:t>指用户使用的全部电量是否均自市场交易，如非全部电量来自市场交易，填写不执行目录电价的电量比例。</w:t>
      </w:r>
    </w:p>
  </w:footnote>
  <w:footnote w:id="17">
    <w:p w:rsidR="007B19D7" w:rsidRDefault="00A11A63">
      <w:pPr>
        <w:pStyle w:val="a6"/>
      </w:pPr>
      <w:r>
        <w:rPr>
          <w:rStyle w:val="a7"/>
        </w:rPr>
        <w:footnoteRef/>
      </w:r>
      <w:r>
        <w:t xml:space="preserve"> </w:t>
      </w:r>
      <w:r>
        <w:rPr>
          <w:rFonts w:hint="eastAsia"/>
        </w:rPr>
        <w:t>必须开（停）机组定价方式，以及依据。</w:t>
      </w:r>
    </w:p>
  </w:footnote>
  <w:footnote w:id="18">
    <w:p w:rsidR="007B19D7" w:rsidRDefault="00A11A63">
      <w:pPr>
        <w:pStyle w:val="a6"/>
      </w:pPr>
      <w:r>
        <w:rPr>
          <w:rStyle w:val="a7"/>
        </w:rPr>
        <w:footnoteRef/>
      </w:r>
      <w:r>
        <w:t xml:space="preserve"> </w:t>
      </w:r>
      <w:r>
        <w:rPr>
          <w:rFonts w:hint="eastAsia"/>
        </w:rPr>
        <w:t>本表按周期性进行交易的市场内交易标的品种填写，</w:t>
      </w:r>
      <w:r w:rsidR="00A52AC9">
        <w:rPr>
          <w:rFonts w:hint="eastAsia"/>
        </w:rPr>
        <w:t>一个交易品种填写一张，例如直接交易、合同转让交易、调峰交易等。</w:t>
      </w:r>
      <w:r>
        <w:rPr>
          <w:rFonts w:hint="eastAsia"/>
        </w:rPr>
        <w:t>交易</w:t>
      </w:r>
      <w:r w:rsidR="00FA3C5D">
        <w:rPr>
          <w:rFonts w:eastAsiaTheme="minorEastAsia" w:hint="eastAsia"/>
        </w:rPr>
        <w:t>标的</w:t>
      </w:r>
      <w:r>
        <w:rPr>
          <w:rFonts w:hint="eastAsia"/>
        </w:rPr>
        <w:t>主要指时标电量、电量、辅助服务、合同约定电量（电力、辅助服务）等</w:t>
      </w:r>
      <w:r w:rsidR="00A52AC9">
        <w:rPr>
          <w:rFonts w:eastAsiaTheme="minorEastAsia" w:hint="eastAsia"/>
        </w:rPr>
        <w:t>。</w:t>
      </w:r>
      <w:r>
        <w:rPr>
          <w:rFonts w:hint="eastAsia"/>
        </w:rPr>
        <w:t>如有以年度交易方案等交易规则性质文件的，则按年度填写，每个年度方案对应一张表。</w:t>
      </w:r>
    </w:p>
  </w:footnote>
  <w:footnote w:id="19">
    <w:p w:rsidR="007B19D7" w:rsidRDefault="00A11A63">
      <w:pPr>
        <w:pStyle w:val="a6"/>
      </w:pPr>
      <w:r>
        <w:rPr>
          <w:rStyle w:val="a7"/>
        </w:rPr>
        <w:footnoteRef/>
      </w:r>
      <w:r>
        <w:t xml:space="preserve"> </w:t>
      </w:r>
      <w:r>
        <w:rPr>
          <w:rFonts w:hint="eastAsia"/>
        </w:rPr>
        <w:t>指该交易品种在交易中心</w:t>
      </w:r>
      <w:r w:rsidR="005D39F3">
        <w:rPr>
          <w:rFonts w:eastAsiaTheme="minorEastAsia" w:hint="eastAsia"/>
        </w:rPr>
        <w:t>开市时间</w:t>
      </w:r>
      <w:r w:rsidR="005D39F3">
        <w:rPr>
          <w:rFonts w:hint="eastAsia"/>
        </w:rPr>
        <w:t>内</w:t>
      </w:r>
      <w:r w:rsidR="005D39F3">
        <w:rPr>
          <w:rFonts w:eastAsiaTheme="minorEastAsia" w:hint="eastAsia"/>
        </w:rPr>
        <w:t>均</w:t>
      </w:r>
      <w:r>
        <w:rPr>
          <w:rFonts w:hint="eastAsia"/>
        </w:rPr>
        <w:t>可</w:t>
      </w:r>
      <w:r w:rsidR="005D39F3">
        <w:rPr>
          <w:rFonts w:eastAsiaTheme="minorEastAsia" w:hint="eastAsia"/>
        </w:rPr>
        <w:t>连续</w:t>
      </w:r>
      <w:r>
        <w:rPr>
          <w:rFonts w:hint="eastAsia"/>
        </w:rPr>
        <w:t>进行交易。</w:t>
      </w:r>
    </w:p>
  </w:footnote>
  <w:footnote w:id="20">
    <w:p w:rsidR="007B19D7" w:rsidRDefault="00A11A63">
      <w:pPr>
        <w:pStyle w:val="a6"/>
      </w:pPr>
      <w:r>
        <w:rPr>
          <w:rStyle w:val="a7"/>
        </w:rPr>
        <w:footnoteRef/>
      </w:r>
      <w:r>
        <w:t xml:space="preserve"> </w:t>
      </w:r>
      <w:r>
        <w:rPr>
          <w:rFonts w:hint="eastAsia"/>
        </w:rPr>
        <w:t>售电公司、电网企业、发电企业、电力用户、点对网消纳的省外发电企业、非点对网消纳省外发电企业等，下同。</w:t>
      </w:r>
    </w:p>
  </w:footnote>
  <w:footnote w:id="21">
    <w:p w:rsidR="007B19D7" w:rsidRDefault="00A11A63">
      <w:pPr>
        <w:pStyle w:val="a6"/>
      </w:pPr>
      <w:r>
        <w:rPr>
          <w:rStyle w:val="a7"/>
        </w:rPr>
        <w:footnoteRef/>
      </w:r>
      <w:r>
        <w:t xml:space="preserve"> </w:t>
      </w:r>
      <w:r>
        <w:rPr>
          <w:rFonts w:hint="eastAsia"/>
        </w:rPr>
        <w:t>同脚注</w:t>
      </w:r>
      <w:r>
        <w:rPr>
          <w:rFonts w:hint="eastAsia"/>
        </w:rPr>
        <w:t>18</w:t>
      </w:r>
      <w:r>
        <w:rPr>
          <w:rFonts w:hint="eastAsia"/>
        </w:rPr>
        <w:t>。</w:t>
      </w:r>
    </w:p>
  </w:footnote>
  <w:footnote w:id="22">
    <w:p w:rsidR="007B19D7" w:rsidRDefault="00A11A63">
      <w:pPr>
        <w:pStyle w:val="a6"/>
      </w:pPr>
      <w:r>
        <w:rPr>
          <w:rStyle w:val="a7"/>
        </w:rPr>
        <w:footnoteRef/>
      </w:r>
      <w:r>
        <w:t xml:space="preserve"> </w:t>
      </w:r>
      <w:r>
        <w:rPr>
          <w:rFonts w:hint="eastAsia"/>
        </w:rPr>
        <w:t>指总交易量和供需比的确定方式，以及做出决定的单位。</w:t>
      </w:r>
    </w:p>
  </w:footnote>
  <w:footnote w:id="23">
    <w:p w:rsidR="007B19D7" w:rsidRDefault="00A11A63">
      <w:pPr>
        <w:pStyle w:val="a6"/>
      </w:pPr>
      <w:r>
        <w:rPr>
          <w:rStyle w:val="a7"/>
        </w:rPr>
        <w:footnoteRef/>
      </w:r>
      <w:r>
        <w:t xml:space="preserve"> </w:t>
      </w:r>
      <w:r>
        <w:rPr>
          <w:rFonts w:hint="eastAsia"/>
        </w:rPr>
        <w:t>按“买方</w:t>
      </w:r>
      <w:r>
        <w:rPr>
          <w:rFonts w:hint="eastAsia"/>
        </w:rPr>
        <w:t>/</w:t>
      </w:r>
      <w:r>
        <w:rPr>
          <w:rFonts w:hint="eastAsia"/>
        </w:rPr>
        <w:t>卖方”填写周期。</w:t>
      </w:r>
    </w:p>
  </w:footnote>
  <w:footnote w:id="24">
    <w:p w:rsidR="007B19D7" w:rsidRDefault="00A11A63">
      <w:pPr>
        <w:pStyle w:val="a6"/>
      </w:pPr>
      <w:r>
        <w:rPr>
          <w:rStyle w:val="a7"/>
        </w:rPr>
        <w:footnoteRef/>
      </w:r>
      <w:r>
        <w:t xml:space="preserve"> </w:t>
      </w:r>
      <w:r>
        <w:rPr>
          <w:rFonts w:hint="eastAsia"/>
        </w:rPr>
        <w:t>包含东北等地区按照日内若干时段交易调峰辅助服务等情形。</w:t>
      </w:r>
    </w:p>
  </w:footnote>
  <w:footnote w:id="25">
    <w:p w:rsidR="007B19D7" w:rsidRDefault="00A11A63">
      <w:pPr>
        <w:pStyle w:val="a6"/>
      </w:pPr>
      <w:r>
        <w:rPr>
          <w:rStyle w:val="a7"/>
        </w:rPr>
        <w:footnoteRef/>
      </w:r>
      <w:r>
        <w:t xml:space="preserve"> </w:t>
      </w:r>
      <w:r>
        <w:rPr>
          <w:rFonts w:hint="eastAsia"/>
        </w:rPr>
        <w:t>指电子公告、微信、短信、网站、公文、报纸等方式，下同。</w:t>
      </w:r>
    </w:p>
  </w:footnote>
  <w:footnote w:id="26">
    <w:p w:rsidR="007B19D7" w:rsidRDefault="00A11A63">
      <w:pPr>
        <w:pStyle w:val="a6"/>
      </w:pPr>
      <w:r>
        <w:rPr>
          <w:rStyle w:val="a7"/>
        </w:rPr>
        <w:footnoteRef/>
      </w:r>
      <w:r>
        <w:t xml:space="preserve"> </w:t>
      </w:r>
      <w:r>
        <w:rPr>
          <w:rFonts w:hint="eastAsia"/>
        </w:rPr>
        <w:t>指信息披露对象范围，如公众、全部市场主体、部分市场主体。如填写部分市场主体的，需进一步写明部分售电公司、部分发电企业或部分电力用户等，下同。</w:t>
      </w:r>
    </w:p>
  </w:footnote>
  <w:footnote w:id="27">
    <w:p w:rsidR="007B19D7" w:rsidRDefault="00A11A63">
      <w:pPr>
        <w:pStyle w:val="a6"/>
      </w:pPr>
      <w:r>
        <w:rPr>
          <w:rStyle w:val="a7"/>
        </w:rPr>
        <w:footnoteRef/>
      </w:r>
      <w:r>
        <w:t xml:space="preserve"> </w:t>
      </w:r>
      <w:r>
        <w:rPr>
          <w:rFonts w:hint="eastAsia"/>
        </w:rPr>
        <w:t>非固定周期市场内交易品种按照每发生一次交易进行填写，非固定周期交易包含临时交易。</w:t>
      </w:r>
    </w:p>
  </w:footnote>
  <w:footnote w:id="28">
    <w:p w:rsidR="007B19D7" w:rsidRDefault="00A11A63">
      <w:pPr>
        <w:pStyle w:val="a6"/>
      </w:pPr>
      <w:r>
        <w:rPr>
          <w:rStyle w:val="a7"/>
        </w:rPr>
        <w:footnoteRef/>
      </w:r>
      <w:r>
        <w:t xml:space="preserve"> </w:t>
      </w:r>
      <w:r>
        <w:rPr>
          <w:rFonts w:hint="eastAsia"/>
        </w:rPr>
        <w:t>即计划体制下所指跨省跨区交易。按交易标的可分为跨省直接交易、跨省合同转让、跨省网对网交易、跨区省间现货交易等。</w:t>
      </w:r>
    </w:p>
  </w:footnote>
  <w:footnote w:id="29">
    <w:p w:rsidR="007B19D7" w:rsidRDefault="00A11A63">
      <w:pPr>
        <w:pStyle w:val="a6"/>
      </w:pPr>
      <w:r>
        <w:rPr>
          <w:rStyle w:val="a7"/>
        </w:rPr>
        <w:footnoteRef/>
      </w:r>
      <w:r>
        <w:t xml:space="preserve"> </w:t>
      </w:r>
      <w:r>
        <w:rPr>
          <w:rFonts w:hint="eastAsia"/>
        </w:rPr>
        <w:t>非固定周期市场间（省间）交易按照每发生一次交易进行填写，非固定周期交易包含临时交易。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3" w:rsidRDefault="00565E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3" w:rsidRDefault="00565EF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3" w:rsidRDefault="00565E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5A500C"/>
    <w:rsid w:val="00057566"/>
    <w:rsid w:val="00096269"/>
    <w:rsid w:val="00103F8D"/>
    <w:rsid w:val="00154605"/>
    <w:rsid w:val="001812E8"/>
    <w:rsid w:val="001A24BE"/>
    <w:rsid w:val="001E5E9A"/>
    <w:rsid w:val="00254778"/>
    <w:rsid w:val="00256B26"/>
    <w:rsid w:val="00260512"/>
    <w:rsid w:val="002A380A"/>
    <w:rsid w:val="003E6427"/>
    <w:rsid w:val="0044281B"/>
    <w:rsid w:val="0047132E"/>
    <w:rsid w:val="004A0607"/>
    <w:rsid w:val="004E4903"/>
    <w:rsid w:val="004F63B8"/>
    <w:rsid w:val="00543DCB"/>
    <w:rsid w:val="00565EF3"/>
    <w:rsid w:val="005D39F3"/>
    <w:rsid w:val="006200E6"/>
    <w:rsid w:val="00652123"/>
    <w:rsid w:val="0066478A"/>
    <w:rsid w:val="00675731"/>
    <w:rsid w:val="0067573A"/>
    <w:rsid w:val="0069154E"/>
    <w:rsid w:val="006E0067"/>
    <w:rsid w:val="006E0A22"/>
    <w:rsid w:val="00703178"/>
    <w:rsid w:val="00703E23"/>
    <w:rsid w:val="007B19D7"/>
    <w:rsid w:val="007C5751"/>
    <w:rsid w:val="007D6A61"/>
    <w:rsid w:val="007E4B64"/>
    <w:rsid w:val="007F18AC"/>
    <w:rsid w:val="008B56AC"/>
    <w:rsid w:val="008D7BE1"/>
    <w:rsid w:val="00964322"/>
    <w:rsid w:val="00965FC4"/>
    <w:rsid w:val="009A764A"/>
    <w:rsid w:val="009F52EF"/>
    <w:rsid w:val="00A056E0"/>
    <w:rsid w:val="00A11A63"/>
    <w:rsid w:val="00A52AC9"/>
    <w:rsid w:val="00AC7B70"/>
    <w:rsid w:val="00B06044"/>
    <w:rsid w:val="00B507C3"/>
    <w:rsid w:val="00B60FCE"/>
    <w:rsid w:val="00BB2F61"/>
    <w:rsid w:val="00C10E36"/>
    <w:rsid w:val="00C55A7C"/>
    <w:rsid w:val="00C5727E"/>
    <w:rsid w:val="00C93A4E"/>
    <w:rsid w:val="00E50569"/>
    <w:rsid w:val="00E754CA"/>
    <w:rsid w:val="00E86806"/>
    <w:rsid w:val="00EE4BA6"/>
    <w:rsid w:val="00F05942"/>
    <w:rsid w:val="00FA3C5D"/>
    <w:rsid w:val="00FF1C74"/>
    <w:rsid w:val="08DF254D"/>
    <w:rsid w:val="13D02FF0"/>
    <w:rsid w:val="175A500C"/>
    <w:rsid w:val="28C01A6C"/>
    <w:rsid w:val="2E3D5641"/>
    <w:rsid w:val="33057F0F"/>
    <w:rsid w:val="3E8D5DEC"/>
    <w:rsid w:val="4209415B"/>
    <w:rsid w:val="432B68B8"/>
    <w:rsid w:val="433B10BC"/>
    <w:rsid w:val="4BD07030"/>
    <w:rsid w:val="4D514B49"/>
    <w:rsid w:val="50445A5D"/>
    <w:rsid w:val="51BD4D57"/>
    <w:rsid w:val="580C5355"/>
    <w:rsid w:val="5FB655FE"/>
    <w:rsid w:val="60D97FC1"/>
    <w:rsid w:val="68CB1710"/>
    <w:rsid w:val="6D535020"/>
    <w:rsid w:val="6ED83017"/>
    <w:rsid w:val="71B873AC"/>
    <w:rsid w:val="7531365E"/>
    <w:rsid w:val="76624C6A"/>
    <w:rsid w:val="7B2A54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61"/>
    <w:pPr>
      <w:widowControl w:val="0"/>
      <w:jc w:val="both"/>
    </w:pPr>
    <w:rPr>
      <w:rFonts w:ascii="Calibri" w:eastAsia="SimSun" w:hAnsi="Calibri" w:cs="Times New Roman"/>
      <w:kern w:val="2"/>
      <w:sz w:val="21"/>
      <w:szCs w:val="24"/>
    </w:rPr>
  </w:style>
  <w:style w:type="paragraph" w:styleId="1">
    <w:name w:val="heading 1"/>
    <w:basedOn w:val="a"/>
    <w:next w:val="a"/>
    <w:qFormat/>
    <w:rsid w:val="00BB2F6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B2F61"/>
    <w:rPr>
      <w:sz w:val="18"/>
      <w:szCs w:val="18"/>
    </w:rPr>
  </w:style>
  <w:style w:type="paragraph" w:styleId="a4">
    <w:name w:val="footer"/>
    <w:basedOn w:val="a"/>
    <w:link w:val="Char0"/>
    <w:uiPriority w:val="99"/>
    <w:rsid w:val="00BB2F61"/>
    <w:pPr>
      <w:tabs>
        <w:tab w:val="center" w:pos="4153"/>
        <w:tab w:val="right" w:pos="8306"/>
      </w:tabs>
      <w:snapToGrid w:val="0"/>
      <w:jc w:val="left"/>
    </w:pPr>
    <w:rPr>
      <w:sz w:val="18"/>
    </w:rPr>
  </w:style>
  <w:style w:type="paragraph" w:styleId="a5">
    <w:name w:val="header"/>
    <w:basedOn w:val="a"/>
    <w:rsid w:val="00BB2F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rsid w:val="00BB2F61"/>
    <w:pPr>
      <w:snapToGrid w:val="0"/>
      <w:jc w:val="left"/>
    </w:pPr>
    <w:rPr>
      <w:sz w:val="18"/>
    </w:rPr>
  </w:style>
  <w:style w:type="character" w:styleId="a7">
    <w:name w:val="footnote reference"/>
    <w:basedOn w:val="a0"/>
    <w:qFormat/>
    <w:rsid w:val="00BB2F61"/>
    <w:rPr>
      <w:vertAlign w:val="superscript"/>
    </w:rPr>
  </w:style>
  <w:style w:type="table" w:styleId="a8">
    <w:name w:val="Table Grid"/>
    <w:basedOn w:val="a1"/>
    <w:qFormat/>
    <w:rsid w:val="00BB2F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B2F61"/>
    <w:pPr>
      <w:ind w:firstLineChars="200" w:firstLine="420"/>
    </w:pPr>
  </w:style>
  <w:style w:type="character" w:customStyle="1" w:styleId="Char">
    <w:name w:val="批注框文本 Char"/>
    <w:basedOn w:val="a0"/>
    <w:link w:val="a3"/>
    <w:qFormat/>
    <w:rsid w:val="00BB2F61"/>
    <w:rPr>
      <w:rFonts w:ascii="Calibri" w:eastAsia="SimSun" w:hAnsi="Calibri" w:cs="Times New Roman"/>
      <w:kern w:val="2"/>
      <w:sz w:val="18"/>
      <w:szCs w:val="18"/>
    </w:rPr>
  </w:style>
  <w:style w:type="character" w:customStyle="1" w:styleId="Char0">
    <w:name w:val="页脚 Char"/>
    <w:basedOn w:val="a0"/>
    <w:link w:val="a4"/>
    <w:uiPriority w:val="99"/>
    <w:rsid w:val="00565EF3"/>
    <w:rPr>
      <w:rFonts w:ascii="Calibri" w:eastAsia="SimSun" w:hAnsi="Calibri" w:cs="Times New Roman"/>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27715-4311-4733-A0BE-7B836459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311</TotalTime>
  <Pages>5</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凌水悠悠</dc:creator>
  <cp:lastModifiedBy>微软用户</cp:lastModifiedBy>
  <cp:revision>29</cp:revision>
  <cp:lastPrinted>2018-08-20T03:29:00Z</cp:lastPrinted>
  <dcterms:created xsi:type="dcterms:W3CDTF">2018-08-08T01:41:00Z</dcterms:created>
  <dcterms:modified xsi:type="dcterms:W3CDTF">2018-08-20T03:31:00Z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