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bookmarkStart w:id="0" w:name="_GoBack"/>
      <w:bookmarkEnd w:id="0"/>
    </w:p>
    <w:p>
      <w:pPr>
        <w:jc w:val="center"/>
        <w:rPr>
          <w:rFonts w:hint="eastAsia" w:ascii="仿宋_GB2312" w:hAnsi="仿宋_GB2312" w:eastAsia="仿宋_GB2312" w:cs="仿宋_GB2312"/>
          <w:sz w:val="44"/>
          <w:szCs w:val="44"/>
        </w:rPr>
      </w:pPr>
      <w:r>
        <w:rPr>
          <w:rFonts w:hint="eastAsia" w:ascii="方正小标宋简体" w:hAnsi="方正小标宋简体" w:eastAsia="方正小标宋简体" w:cs="方正小标宋简体"/>
          <w:color w:val="000000"/>
          <w:kern w:val="0"/>
          <w:sz w:val="44"/>
          <w:szCs w:val="44"/>
          <w:lang w:bidi="ar"/>
        </w:rPr>
        <w:t>国家能源局开展“证照分离”改革全覆盖试点措施清单</w:t>
      </w:r>
    </w:p>
    <w:tbl>
      <w:tblPr>
        <w:tblStyle w:val="4"/>
        <w:tblW w:w="141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16"/>
        <w:gridCol w:w="1079"/>
        <w:gridCol w:w="1515"/>
        <w:gridCol w:w="1516"/>
        <w:gridCol w:w="5554"/>
        <w:gridCol w:w="2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trPr>
        <w:tc>
          <w:tcPr>
            <w:tcW w:w="859" w:type="dxa"/>
            <w:shd w:val="clear" w:color="auto" w:fill="FFFFFF"/>
            <w:noWrap w:val="0"/>
            <w:tcMar>
              <w:top w:w="10" w:type="dxa"/>
              <w:left w:w="10" w:type="dxa"/>
              <w:right w:w="10" w:type="dxa"/>
            </w:tcMar>
            <w:vAlign w:val="center"/>
          </w:tcPr>
          <w:p>
            <w:pPr>
              <w:widowControl/>
              <w:jc w:val="center"/>
              <w:textAlignment w:val="center"/>
              <w:rPr>
                <w:rFonts w:hint="eastAsia"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序号</w:t>
            </w:r>
          </w:p>
        </w:tc>
        <w:tc>
          <w:tcPr>
            <w:tcW w:w="2495" w:type="dxa"/>
            <w:gridSpan w:val="2"/>
            <w:shd w:val="clear" w:color="auto" w:fill="FFFFFF"/>
            <w:noWrap w:val="0"/>
            <w:tcMar>
              <w:top w:w="10" w:type="dxa"/>
              <w:left w:w="10" w:type="dxa"/>
              <w:right w:w="10" w:type="dxa"/>
            </w:tcMar>
            <w:vAlign w:val="center"/>
          </w:tcPr>
          <w:p>
            <w:pPr>
              <w:widowControl/>
              <w:jc w:val="center"/>
              <w:textAlignment w:val="center"/>
              <w:rPr>
                <w:rFonts w:hint="eastAsia"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事项名称</w:t>
            </w:r>
          </w:p>
        </w:tc>
        <w:tc>
          <w:tcPr>
            <w:tcW w:w="1515" w:type="dxa"/>
            <w:shd w:val="clear" w:color="auto" w:fill="FFFFFF"/>
            <w:noWrap w:val="0"/>
            <w:tcMar>
              <w:top w:w="10" w:type="dxa"/>
              <w:left w:w="10" w:type="dxa"/>
              <w:right w:w="10" w:type="dxa"/>
            </w:tcMar>
            <w:vAlign w:val="center"/>
          </w:tcPr>
          <w:p>
            <w:pPr>
              <w:widowControl/>
              <w:jc w:val="center"/>
              <w:textAlignment w:val="center"/>
              <w:rPr>
                <w:rFonts w:hint="eastAsia"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实施部门</w:t>
            </w:r>
          </w:p>
        </w:tc>
        <w:tc>
          <w:tcPr>
            <w:tcW w:w="1516" w:type="dxa"/>
            <w:shd w:val="clear" w:color="auto" w:fill="FFFFFF"/>
            <w:noWrap w:val="0"/>
            <w:tcMar>
              <w:top w:w="10" w:type="dxa"/>
              <w:left w:w="10" w:type="dxa"/>
              <w:right w:w="10" w:type="dxa"/>
            </w:tcMar>
            <w:vAlign w:val="center"/>
          </w:tcPr>
          <w:p>
            <w:pPr>
              <w:widowControl/>
              <w:jc w:val="center"/>
              <w:textAlignment w:val="center"/>
              <w:rPr>
                <w:rFonts w:hint="eastAsia"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改革方式</w:t>
            </w:r>
          </w:p>
        </w:tc>
        <w:tc>
          <w:tcPr>
            <w:tcW w:w="5554" w:type="dxa"/>
            <w:shd w:val="clear" w:color="auto" w:fill="FFFFFF"/>
            <w:noWrap w:val="0"/>
            <w:tcMar>
              <w:top w:w="10" w:type="dxa"/>
              <w:left w:w="10" w:type="dxa"/>
              <w:right w:w="10" w:type="dxa"/>
            </w:tcMar>
            <w:vAlign w:val="center"/>
          </w:tcPr>
          <w:p>
            <w:pPr>
              <w:widowControl/>
              <w:jc w:val="center"/>
              <w:textAlignment w:val="center"/>
              <w:rPr>
                <w:rFonts w:hint="eastAsia"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改革措施</w:t>
            </w:r>
          </w:p>
        </w:tc>
        <w:tc>
          <w:tcPr>
            <w:tcW w:w="2206" w:type="dxa"/>
            <w:shd w:val="clear" w:color="auto" w:fill="FFFFFF"/>
            <w:noWrap w:val="0"/>
            <w:tcMar>
              <w:top w:w="10" w:type="dxa"/>
              <w:left w:w="10" w:type="dxa"/>
              <w:right w:w="10" w:type="dxa"/>
            </w:tcMar>
            <w:vAlign w:val="center"/>
          </w:tcPr>
          <w:p>
            <w:pPr>
              <w:widowControl/>
              <w:spacing w:line="560" w:lineRule="exact"/>
              <w:jc w:val="center"/>
              <w:textAlignment w:val="center"/>
              <w:rPr>
                <w:rFonts w:hint="eastAsia"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加强事中事后监管措施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4" w:hRule="atLeast"/>
        </w:trPr>
        <w:tc>
          <w:tcPr>
            <w:tcW w:w="859" w:type="dxa"/>
            <w:vMerge w:val="restart"/>
            <w:shd w:val="clear" w:color="auto" w:fill="FFFFFF"/>
            <w:noWrap w:val="0"/>
            <w:tcMar>
              <w:top w:w="10" w:type="dxa"/>
              <w:left w:w="10" w:type="dxa"/>
              <w:right w:w="10" w:type="dxa"/>
            </w:tcMar>
            <w:vAlign w:val="center"/>
          </w:tcPr>
          <w:p>
            <w:pPr>
              <w:widowControl/>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w:t>
            </w:r>
          </w:p>
        </w:tc>
        <w:tc>
          <w:tcPr>
            <w:tcW w:w="1416" w:type="dxa"/>
            <w:vMerge w:val="restart"/>
            <w:shd w:val="clear" w:color="auto" w:fill="FFFFFF"/>
            <w:noWrap w:val="0"/>
            <w:tcMar>
              <w:top w:w="10" w:type="dxa"/>
              <w:left w:w="10" w:type="dxa"/>
              <w:right w:w="10" w:type="dxa"/>
            </w:tcMar>
            <w:vAlign w:val="center"/>
          </w:tcPr>
          <w:p>
            <w:pPr>
              <w:widowControl/>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电力业务许可证核发</w:t>
            </w:r>
          </w:p>
        </w:tc>
        <w:tc>
          <w:tcPr>
            <w:tcW w:w="1079" w:type="dxa"/>
            <w:shd w:val="clear" w:color="auto" w:fill="FFFFFF"/>
            <w:noWrap w:val="0"/>
            <w:tcMar>
              <w:top w:w="10" w:type="dxa"/>
              <w:left w:w="10" w:type="dxa"/>
              <w:right w:w="10" w:type="dxa"/>
            </w:tcMar>
            <w:vAlign w:val="center"/>
          </w:tcPr>
          <w:p>
            <w:pPr>
              <w:widowControl/>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新申请</w:t>
            </w:r>
          </w:p>
        </w:tc>
        <w:tc>
          <w:tcPr>
            <w:tcW w:w="1515" w:type="dxa"/>
            <w:vMerge w:val="restart"/>
            <w:shd w:val="clear" w:color="auto" w:fill="FFFFFF"/>
            <w:noWrap w:val="0"/>
            <w:tcMar>
              <w:top w:w="10" w:type="dxa"/>
              <w:left w:w="10" w:type="dxa"/>
              <w:right w:w="10" w:type="dxa"/>
            </w:tcMar>
            <w:vAlign w:val="center"/>
          </w:tcPr>
          <w:p>
            <w:pPr>
              <w:widowControl/>
              <w:jc w:val="left"/>
              <w:textAlignment w:val="center"/>
              <w:rPr>
                <w:rFonts w:hint="eastAsia" w:ascii="仿宋_GB2312" w:hAnsi="宋体" w:eastAsia="仿宋_GB2312" w:cs="仿宋_GB2312"/>
                <w:color w:val="000000"/>
                <w:kern w:val="0"/>
                <w:sz w:val="24"/>
                <w:szCs w:val="24"/>
                <w:lang w:bidi="ar"/>
              </w:rPr>
            </w:pPr>
          </w:p>
          <w:p>
            <w:pPr>
              <w:widowControl/>
              <w:jc w:val="left"/>
              <w:textAlignment w:val="center"/>
              <w:rPr>
                <w:rFonts w:hint="eastAsia" w:ascii="仿宋_GB2312" w:hAnsi="宋体" w:eastAsia="仿宋_GB2312" w:cs="仿宋_GB2312"/>
                <w:color w:val="000000"/>
                <w:kern w:val="0"/>
                <w:sz w:val="24"/>
                <w:szCs w:val="24"/>
                <w:lang w:bidi="ar"/>
              </w:rPr>
            </w:pPr>
          </w:p>
          <w:p>
            <w:pPr>
              <w:widowControl/>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华北能源监管局、东北能源监管局、西北能源监管局、华东能源监管局、华中能源监管局、南方能源监管局，山东能源监管办、浙江能源监管办、江苏能源监管办、福建能源监管办、河南能源监管办、四川能源监管办、云南能源监管办。</w:t>
            </w:r>
          </w:p>
        </w:tc>
        <w:tc>
          <w:tcPr>
            <w:tcW w:w="1516" w:type="dxa"/>
            <w:vMerge w:val="restart"/>
            <w:shd w:val="clear" w:color="auto" w:fill="FFFFFF"/>
            <w:noWrap w:val="0"/>
            <w:tcMar>
              <w:top w:w="10" w:type="dxa"/>
              <w:left w:w="10" w:type="dxa"/>
              <w:right w:w="10" w:type="dxa"/>
            </w:tcMar>
            <w:vAlign w:val="center"/>
          </w:tcPr>
          <w:p>
            <w:pPr>
              <w:widowControl/>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优化审批服务</w:t>
            </w:r>
          </w:p>
        </w:tc>
        <w:tc>
          <w:tcPr>
            <w:tcW w:w="5554" w:type="dxa"/>
            <w:shd w:val="clear" w:color="auto" w:fill="FFFFFF"/>
            <w:noWrap w:val="0"/>
            <w:tcMar>
              <w:top w:w="10" w:type="dxa"/>
              <w:left w:w="10" w:type="dxa"/>
              <w:right w:w="10" w:type="dxa"/>
            </w:tcMar>
            <w:vAlign w:val="top"/>
          </w:tcPr>
          <w:p>
            <w:pPr>
              <w:widowControl/>
              <w:jc w:val="left"/>
              <w:textAlignment w:val="top"/>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1.全程网上办理。</w:t>
            </w:r>
            <w:r>
              <w:rPr>
                <w:rFonts w:hint="eastAsia"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2.精简申请材料：不再要求申请人提供法人营业执照复印件，通过部门信息共享或网络查验获取有关信息；不再要求提供财务状况审计报告和对营运资金状况的说明。</w:t>
            </w:r>
            <w:r>
              <w:rPr>
                <w:rFonts w:hint="eastAsia"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3.压减审批时限：审批时限由20日压减至15日。</w:t>
            </w:r>
          </w:p>
        </w:tc>
        <w:tc>
          <w:tcPr>
            <w:tcW w:w="2206" w:type="dxa"/>
            <w:vMerge w:val="restart"/>
            <w:shd w:val="clear" w:color="auto" w:fill="FFFFFF"/>
            <w:noWrap w:val="0"/>
            <w:tcMar>
              <w:top w:w="10" w:type="dxa"/>
              <w:left w:w="10" w:type="dxa"/>
              <w:right w:w="10" w:type="dxa"/>
            </w:tcMar>
            <w:vAlign w:val="center"/>
          </w:tcPr>
          <w:p>
            <w:pPr>
              <w:jc w:val="left"/>
            </w:pPr>
            <w:r>
              <w:rPr>
                <w:rFonts w:hint="eastAsia" w:ascii="仿宋_GB2312" w:hAnsi="宋体" w:eastAsia="仿宋_GB2312" w:cs="仿宋_GB2312"/>
                <w:color w:val="000000"/>
                <w:sz w:val="24"/>
                <w:szCs w:val="24"/>
              </w:rPr>
              <w:t>1.加快推进“互联网+监管”，对持证企业遵守许可制度等情况实行事中事后动态监管。深入开展“双随机、一公开”监管，完善“双随机”抽查工作机制，根据风险水平、信用等级，合理确定抽查比例。风险水平低、信用等级高的，降低抽查比例和频次；风险水平高、信用等级低的，提高抽查比例和频次，抽查检查结果及时向社会公开。</w:t>
            </w:r>
          </w:p>
          <w:p>
            <w:pPr>
              <w:jc w:val="left"/>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2.全面开展许可信用监管，实行信用分类监管清单制度，依据《电力业务许可信用监管应用措施清单》对监管对象采取差异化的信用监管措施，实现守信激励、失信惩戒。</w:t>
            </w:r>
          </w:p>
          <w:p>
            <w:pPr>
              <w:jc w:val="left"/>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3.依法查处违法违规行为，对严重违法的企业依法撤销、吊销许可证，实施市场禁入措施。</w:t>
            </w:r>
          </w:p>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4.推进部门间信息共享，将行政许可等信息及时归集至能源行业信用信息平台，通过能源行业信用信息平台报送至全国信用信息共享平台等政务信息共享系统。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9" w:hRule="atLeast"/>
        </w:trPr>
        <w:tc>
          <w:tcPr>
            <w:tcW w:w="859"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c>
          <w:tcPr>
            <w:tcW w:w="1416" w:type="dxa"/>
            <w:vMerge w:val="continue"/>
            <w:shd w:val="clear" w:color="auto" w:fill="FFFFFF"/>
            <w:noWrap w:val="0"/>
            <w:tcMar>
              <w:top w:w="10" w:type="dxa"/>
              <w:left w:w="10" w:type="dxa"/>
              <w:right w:w="10" w:type="dxa"/>
            </w:tcMar>
            <w:vAlign w:val="center"/>
          </w:tcPr>
          <w:p>
            <w:pPr>
              <w:jc w:val="left"/>
              <w:rPr>
                <w:rFonts w:hint="eastAsia" w:ascii="仿宋_GB2312" w:hAnsi="宋体" w:eastAsia="仿宋_GB2312" w:cs="仿宋_GB2312"/>
                <w:color w:val="000000"/>
                <w:sz w:val="24"/>
                <w:szCs w:val="24"/>
              </w:rPr>
            </w:pPr>
          </w:p>
        </w:tc>
        <w:tc>
          <w:tcPr>
            <w:tcW w:w="1079" w:type="dxa"/>
            <w:shd w:val="clear" w:color="auto" w:fill="FFFFFF"/>
            <w:noWrap w:val="0"/>
            <w:tcMar>
              <w:top w:w="10" w:type="dxa"/>
              <w:left w:w="10" w:type="dxa"/>
              <w:right w:w="10" w:type="dxa"/>
            </w:tcMar>
            <w:vAlign w:val="center"/>
          </w:tcPr>
          <w:p>
            <w:pPr>
              <w:widowControl/>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许可事项变更</w:t>
            </w:r>
          </w:p>
        </w:tc>
        <w:tc>
          <w:tcPr>
            <w:tcW w:w="1515" w:type="dxa"/>
            <w:vMerge w:val="continue"/>
            <w:shd w:val="clear" w:color="auto" w:fill="FFFFFF"/>
            <w:noWrap w:val="0"/>
            <w:tcMar>
              <w:top w:w="10" w:type="dxa"/>
              <w:left w:w="10" w:type="dxa"/>
              <w:right w:w="10" w:type="dxa"/>
            </w:tcMar>
            <w:vAlign w:val="center"/>
          </w:tcPr>
          <w:p>
            <w:pPr>
              <w:jc w:val="left"/>
              <w:rPr>
                <w:rFonts w:hint="eastAsia" w:ascii="仿宋_GB2312" w:hAnsi="宋体" w:eastAsia="仿宋_GB2312" w:cs="仿宋_GB2312"/>
                <w:color w:val="000000"/>
                <w:sz w:val="24"/>
                <w:szCs w:val="24"/>
              </w:rPr>
            </w:pPr>
          </w:p>
        </w:tc>
        <w:tc>
          <w:tcPr>
            <w:tcW w:w="1516"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c>
          <w:tcPr>
            <w:tcW w:w="5554" w:type="dxa"/>
            <w:shd w:val="clear" w:color="auto" w:fill="FFFFFF"/>
            <w:noWrap w:val="0"/>
            <w:tcMar>
              <w:top w:w="10" w:type="dxa"/>
              <w:left w:w="10" w:type="dxa"/>
              <w:right w:w="10" w:type="dxa"/>
            </w:tcMar>
            <w:vAlign w:val="top"/>
          </w:tcPr>
          <w:p>
            <w:pPr>
              <w:widowControl/>
              <w:jc w:val="left"/>
              <w:textAlignment w:val="top"/>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1.全程网上办理。</w:t>
            </w:r>
            <w:r>
              <w:rPr>
                <w:rFonts w:hint="eastAsia"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2.压减审批时限：审批时限由20日压减至15日。</w:t>
            </w:r>
          </w:p>
        </w:tc>
        <w:tc>
          <w:tcPr>
            <w:tcW w:w="2206"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6" w:hRule="atLeast"/>
        </w:trPr>
        <w:tc>
          <w:tcPr>
            <w:tcW w:w="859"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c>
          <w:tcPr>
            <w:tcW w:w="1416" w:type="dxa"/>
            <w:vMerge w:val="continue"/>
            <w:shd w:val="clear" w:color="auto" w:fill="FFFFFF"/>
            <w:noWrap w:val="0"/>
            <w:tcMar>
              <w:top w:w="10" w:type="dxa"/>
              <w:left w:w="10" w:type="dxa"/>
              <w:right w:w="10" w:type="dxa"/>
            </w:tcMar>
            <w:vAlign w:val="center"/>
          </w:tcPr>
          <w:p>
            <w:pPr>
              <w:jc w:val="left"/>
              <w:rPr>
                <w:rFonts w:hint="eastAsia" w:ascii="仿宋_GB2312" w:hAnsi="宋体" w:eastAsia="仿宋_GB2312" w:cs="仿宋_GB2312"/>
                <w:color w:val="000000"/>
                <w:sz w:val="24"/>
                <w:szCs w:val="24"/>
              </w:rPr>
            </w:pPr>
          </w:p>
        </w:tc>
        <w:tc>
          <w:tcPr>
            <w:tcW w:w="1079" w:type="dxa"/>
            <w:shd w:val="clear" w:color="auto" w:fill="FFFFFF"/>
            <w:noWrap w:val="0"/>
            <w:tcMar>
              <w:top w:w="10" w:type="dxa"/>
              <w:left w:w="10" w:type="dxa"/>
              <w:right w:w="10" w:type="dxa"/>
            </w:tcMar>
            <w:vAlign w:val="center"/>
          </w:tcPr>
          <w:p>
            <w:pPr>
              <w:widowControl/>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登记事项变更</w:t>
            </w:r>
          </w:p>
        </w:tc>
        <w:tc>
          <w:tcPr>
            <w:tcW w:w="1515" w:type="dxa"/>
            <w:vMerge w:val="continue"/>
            <w:shd w:val="clear" w:color="auto" w:fill="FFFFFF"/>
            <w:noWrap w:val="0"/>
            <w:tcMar>
              <w:top w:w="10" w:type="dxa"/>
              <w:left w:w="10" w:type="dxa"/>
              <w:right w:w="10" w:type="dxa"/>
            </w:tcMar>
            <w:vAlign w:val="center"/>
          </w:tcPr>
          <w:p>
            <w:pPr>
              <w:jc w:val="left"/>
              <w:rPr>
                <w:rFonts w:hint="eastAsia" w:ascii="仿宋_GB2312" w:hAnsi="宋体" w:eastAsia="仿宋_GB2312" w:cs="仿宋_GB2312"/>
                <w:color w:val="000000"/>
                <w:sz w:val="24"/>
                <w:szCs w:val="24"/>
              </w:rPr>
            </w:pPr>
          </w:p>
        </w:tc>
        <w:tc>
          <w:tcPr>
            <w:tcW w:w="1516"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c>
          <w:tcPr>
            <w:tcW w:w="5554" w:type="dxa"/>
            <w:shd w:val="clear" w:color="auto" w:fill="FFFFFF"/>
            <w:noWrap w:val="0"/>
            <w:tcMar>
              <w:top w:w="10" w:type="dxa"/>
              <w:left w:w="10" w:type="dxa"/>
              <w:right w:w="10" w:type="dxa"/>
            </w:tcMar>
            <w:vAlign w:val="top"/>
          </w:tcPr>
          <w:p>
            <w:pPr>
              <w:widowControl/>
              <w:jc w:val="left"/>
              <w:textAlignment w:val="top"/>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1.全程网上办理。</w:t>
            </w:r>
            <w:r>
              <w:rPr>
                <w:rFonts w:hint="eastAsia"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2.精简申请材料：不再要求申请人提供法人营业执照复印件、许可证原件，通过部门信息共享或网络查验获取有关信息。</w:t>
            </w:r>
            <w:r>
              <w:rPr>
                <w:rFonts w:hint="eastAsia"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3.压减审批时限：审批时限由20日压减至15日，不需经行政许可委员会审议，采用由派出能源监管机构负责人直接签批方式办理。</w:t>
            </w:r>
          </w:p>
        </w:tc>
        <w:tc>
          <w:tcPr>
            <w:tcW w:w="2206"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3" w:hRule="atLeast"/>
        </w:trPr>
        <w:tc>
          <w:tcPr>
            <w:tcW w:w="859"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c>
          <w:tcPr>
            <w:tcW w:w="1416" w:type="dxa"/>
            <w:vMerge w:val="continue"/>
            <w:shd w:val="clear" w:color="auto" w:fill="FFFFFF"/>
            <w:noWrap w:val="0"/>
            <w:tcMar>
              <w:top w:w="10" w:type="dxa"/>
              <w:left w:w="10" w:type="dxa"/>
              <w:right w:w="10" w:type="dxa"/>
            </w:tcMar>
            <w:vAlign w:val="center"/>
          </w:tcPr>
          <w:p>
            <w:pPr>
              <w:jc w:val="left"/>
              <w:rPr>
                <w:rFonts w:hint="eastAsia" w:ascii="仿宋_GB2312" w:hAnsi="宋体" w:eastAsia="仿宋_GB2312" w:cs="仿宋_GB2312"/>
                <w:color w:val="000000"/>
                <w:sz w:val="24"/>
                <w:szCs w:val="24"/>
              </w:rPr>
            </w:pPr>
          </w:p>
        </w:tc>
        <w:tc>
          <w:tcPr>
            <w:tcW w:w="1079" w:type="dxa"/>
            <w:shd w:val="clear" w:color="auto" w:fill="FFFFFF"/>
            <w:noWrap w:val="0"/>
            <w:tcMar>
              <w:top w:w="10" w:type="dxa"/>
              <w:left w:w="10" w:type="dxa"/>
              <w:right w:w="10" w:type="dxa"/>
            </w:tcMar>
            <w:vAlign w:val="center"/>
          </w:tcPr>
          <w:p>
            <w:pPr>
              <w:widowControl/>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许可证补办</w:t>
            </w:r>
          </w:p>
        </w:tc>
        <w:tc>
          <w:tcPr>
            <w:tcW w:w="1515" w:type="dxa"/>
            <w:vMerge w:val="continue"/>
            <w:shd w:val="clear" w:color="auto" w:fill="FFFFFF"/>
            <w:noWrap w:val="0"/>
            <w:tcMar>
              <w:top w:w="10" w:type="dxa"/>
              <w:left w:w="10" w:type="dxa"/>
              <w:right w:w="10" w:type="dxa"/>
            </w:tcMar>
            <w:vAlign w:val="center"/>
          </w:tcPr>
          <w:p>
            <w:pPr>
              <w:jc w:val="left"/>
              <w:rPr>
                <w:rFonts w:hint="eastAsia" w:ascii="仿宋_GB2312" w:hAnsi="宋体" w:eastAsia="仿宋_GB2312" w:cs="仿宋_GB2312"/>
                <w:color w:val="000000"/>
                <w:sz w:val="24"/>
                <w:szCs w:val="24"/>
              </w:rPr>
            </w:pPr>
          </w:p>
        </w:tc>
        <w:tc>
          <w:tcPr>
            <w:tcW w:w="1516"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c>
          <w:tcPr>
            <w:tcW w:w="5554" w:type="dxa"/>
            <w:shd w:val="clear" w:color="auto" w:fill="FFFFFF"/>
            <w:noWrap w:val="0"/>
            <w:tcMar>
              <w:top w:w="10" w:type="dxa"/>
              <w:left w:w="10" w:type="dxa"/>
              <w:right w:w="10" w:type="dxa"/>
            </w:tcMar>
            <w:vAlign w:val="top"/>
          </w:tcPr>
          <w:p>
            <w:pPr>
              <w:widowControl/>
              <w:jc w:val="left"/>
              <w:textAlignment w:val="top"/>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1.全程网上办理。</w:t>
            </w:r>
            <w:r>
              <w:rPr>
                <w:rFonts w:hint="eastAsia"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2.精简申请材料：不再要求申请人提供法人营业执照复印件，通过部门信息共享或网络查验获取有关信息；不再要求申请人在规定的媒体上刊登遗失声明，由许可机关在官方网站发布公告。</w:t>
            </w:r>
          </w:p>
          <w:p>
            <w:pPr>
              <w:widowControl/>
              <w:jc w:val="left"/>
              <w:textAlignment w:val="top"/>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3.压减审批时限：具备条件的</w:t>
            </w:r>
            <w:r>
              <w:rPr>
                <w:rFonts w:hint="eastAsia" w:ascii="仿宋_GB2312" w:hAnsi="宋体" w:eastAsia="仿宋_GB2312" w:cs="仿宋_GB2312"/>
                <w:color w:val="000000"/>
                <w:kern w:val="0"/>
                <w:sz w:val="24"/>
                <w:szCs w:val="24"/>
                <w:lang w:eastAsia="zh-CN" w:bidi="ar"/>
              </w:rPr>
              <w:t>在</w:t>
            </w:r>
            <w:r>
              <w:rPr>
                <w:rFonts w:hint="eastAsia" w:ascii="仿宋_GB2312" w:hAnsi="宋体" w:eastAsia="仿宋_GB2312" w:cs="仿宋_GB2312"/>
                <w:color w:val="000000"/>
                <w:kern w:val="0"/>
                <w:sz w:val="24"/>
                <w:szCs w:val="24"/>
                <w:lang w:bidi="ar"/>
              </w:rPr>
              <w:t>受理当日补发许可证，不需经行政许可委员会审议，采用由派出能源监管机构负责人直接签批方式办理。</w:t>
            </w:r>
          </w:p>
        </w:tc>
        <w:tc>
          <w:tcPr>
            <w:tcW w:w="2206"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3" w:hRule="atLeast"/>
        </w:trPr>
        <w:tc>
          <w:tcPr>
            <w:tcW w:w="859" w:type="dxa"/>
            <w:vMerge w:val="restart"/>
            <w:shd w:val="clear" w:color="auto" w:fill="FFFFFF"/>
            <w:noWrap w:val="0"/>
            <w:tcMar>
              <w:top w:w="10" w:type="dxa"/>
              <w:left w:w="10" w:type="dxa"/>
              <w:right w:w="10" w:type="dxa"/>
            </w:tcMar>
            <w:vAlign w:val="center"/>
          </w:tcPr>
          <w:p>
            <w:pPr>
              <w:widowControl/>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416" w:type="dxa"/>
            <w:vMerge w:val="restart"/>
            <w:shd w:val="clear" w:color="auto" w:fill="FFFFFF"/>
            <w:noWrap w:val="0"/>
            <w:tcMar>
              <w:top w:w="10" w:type="dxa"/>
              <w:left w:w="10" w:type="dxa"/>
              <w:right w:w="10" w:type="dxa"/>
            </w:tcMar>
            <w:vAlign w:val="center"/>
          </w:tcPr>
          <w:p>
            <w:pPr>
              <w:widowControl/>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承装（修、试）电力设施许可证核发</w:t>
            </w:r>
          </w:p>
        </w:tc>
        <w:tc>
          <w:tcPr>
            <w:tcW w:w="1079" w:type="dxa"/>
            <w:shd w:val="clear" w:color="auto" w:fill="FFFFFF"/>
            <w:noWrap w:val="0"/>
            <w:tcMar>
              <w:top w:w="10" w:type="dxa"/>
              <w:left w:w="10" w:type="dxa"/>
              <w:right w:w="10" w:type="dxa"/>
            </w:tcMar>
            <w:vAlign w:val="center"/>
          </w:tcPr>
          <w:p>
            <w:pPr>
              <w:widowControl/>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新申请</w:t>
            </w:r>
          </w:p>
        </w:tc>
        <w:tc>
          <w:tcPr>
            <w:tcW w:w="1515" w:type="dxa"/>
            <w:vMerge w:val="restart"/>
            <w:shd w:val="clear" w:color="auto" w:fill="FFFFFF"/>
            <w:noWrap w:val="0"/>
            <w:tcMar>
              <w:top w:w="10" w:type="dxa"/>
              <w:left w:w="10" w:type="dxa"/>
              <w:right w:w="10" w:type="dxa"/>
            </w:tcMar>
            <w:vAlign w:val="center"/>
          </w:tcPr>
          <w:p>
            <w:pPr>
              <w:widowControl/>
              <w:jc w:val="left"/>
              <w:textAlignment w:val="center"/>
              <w:rPr>
                <w:rFonts w:hint="eastAsia" w:ascii="仿宋_GB2312" w:hAnsi="宋体" w:eastAsia="仿宋_GB2312" w:cs="仿宋_GB2312"/>
                <w:color w:val="000000"/>
                <w:kern w:val="0"/>
                <w:sz w:val="24"/>
                <w:szCs w:val="24"/>
                <w:lang w:bidi="ar"/>
              </w:rPr>
            </w:pPr>
          </w:p>
          <w:p>
            <w:pPr>
              <w:widowControl/>
              <w:jc w:val="left"/>
              <w:textAlignment w:val="center"/>
              <w:rPr>
                <w:rFonts w:hint="eastAsia" w:ascii="仿宋_GB2312" w:hAnsi="宋体" w:eastAsia="仿宋_GB2312" w:cs="仿宋_GB2312"/>
                <w:color w:val="000000"/>
                <w:kern w:val="0"/>
                <w:sz w:val="24"/>
                <w:szCs w:val="24"/>
                <w:lang w:bidi="ar"/>
              </w:rPr>
            </w:pPr>
          </w:p>
          <w:p>
            <w:pPr>
              <w:widowControl/>
              <w:jc w:val="left"/>
              <w:textAlignment w:val="center"/>
              <w:rPr>
                <w:rFonts w:hint="eastAsia" w:ascii="仿宋_GB2312" w:hAnsi="宋体" w:eastAsia="仿宋_GB2312" w:cs="仿宋_GB2312"/>
                <w:color w:val="000000"/>
                <w:kern w:val="0"/>
                <w:sz w:val="24"/>
                <w:szCs w:val="24"/>
                <w:lang w:bidi="ar"/>
              </w:rPr>
            </w:pPr>
          </w:p>
          <w:p>
            <w:pPr>
              <w:widowControl/>
              <w:jc w:val="left"/>
              <w:textAlignment w:val="center"/>
              <w:rPr>
                <w:rFonts w:hint="eastAsia" w:ascii="仿宋_GB2312" w:hAnsi="宋体" w:eastAsia="仿宋_GB2312" w:cs="仿宋_GB2312"/>
                <w:color w:val="000000"/>
                <w:kern w:val="0"/>
                <w:sz w:val="24"/>
                <w:szCs w:val="24"/>
                <w:lang w:bidi="ar"/>
              </w:rPr>
            </w:pPr>
          </w:p>
          <w:p>
            <w:pPr>
              <w:widowControl/>
              <w:jc w:val="left"/>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华北能源监管局、东北能源监管局、西北能源监管局、华东能源监管局、华中能源监管局、南方能源监管局，山东能源监管办、浙江能源监管办、江苏能源监管办、福建能源监管办、河南能源监管办、四川能源监管办、云南能源监管办。</w:t>
            </w:r>
          </w:p>
        </w:tc>
        <w:tc>
          <w:tcPr>
            <w:tcW w:w="1516" w:type="dxa"/>
            <w:vMerge w:val="restart"/>
            <w:shd w:val="clear" w:color="auto" w:fill="FFFFFF"/>
            <w:noWrap w:val="0"/>
            <w:tcMar>
              <w:top w:w="10" w:type="dxa"/>
              <w:left w:w="10" w:type="dxa"/>
              <w:right w:w="10" w:type="dxa"/>
            </w:tcMar>
            <w:vAlign w:val="center"/>
          </w:tcPr>
          <w:p>
            <w:pPr>
              <w:widowControl/>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优化审批服务</w:t>
            </w:r>
          </w:p>
        </w:tc>
        <w:tc>
          <w:tcPr>
            <w:tcW w:w="5554" w:type="dxa"/>
            <w:shd w:val="clear" w:color="auto" w:fill="FFFFFF"/>
            <w:noWrap w:val="0"/>
            <w:tcMar>
              <w:top w:w="10" w:type="dxa"/>
              <w:left w:w="10" w:type="dxa"/>
              <w:right w:w="10" w:type="dxa"/>
            </w:tcMar>
            <w:vAlign w:val="top"/>
          </w:tcPr>
          <w:p>
            <w:pPr>
              <w:widowControl/>
              <w:jc w:val="left"/>
              <w:textAlignment w:val="top"/>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1.全程网上办理。</w:t>
            </w:r>
            <w:r>
              <w:rPr>
                <w:rFonts w:hint="eastAsia"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2.精简</w:t>
            </w:r>
            <w:r>
              <w:rPr>
                <w:rFonts w:hint="eastAsia" w:ascii="仿宋_GB2312" w:hAnsi="宋体" w:eastAsia="仿宋_GB2312" w:cs="仿宋_GB2312"/>
                <w:color w:val="000000"/>
                <w:kern w:val="0"/>
                <w:sz w:val="24"/>
                <w:szCs w:val="24"/>
                <w:lang w:eastAsia="zh-CN" w:bidi="ar"/>
              </w:rPr>
              <w:t>许可</w:t>
            </w:r>
            <w:r>
              <w:rPr>
                <w:rFonts w:hint="eastAsia" w:ascii="仿宋_GB2312" w:hAnsi="宋体" w:eastAsia="仿宋_GB2312" w:cs="仿宋_GB2312"/>
                <w:color w:val="000000"/>
                <w:kern w:val="0"/>
                <w:sz w:val="24"/>
                <w:szCs w:val="24"/>
                <w:lang w:bidi="ar"/>
              </w:rPr>
              <w:t>条件和</w:t>
            </w:r>
            <w:r>
              <w:rPr>
                <w:rFonts w:hint="eastAsia" w:ascii="仿宋_GB2312" w:hAnsi="宋体" w:eastAsia="仿宋_GB2312" w:cs="仿宋_GB2312"/>
                <w:color w:val="000000"/>
                <w:kern w:val="0"/>
                <w:sz w:val="24"/>
                <w:szCs w:val="24"/>
                <w:lang w:eastAsia="zh-CN" w:bidi="ar"/>
              </w:rPr>
              <w:t>申请</w:t>
            </w:r>
            <w:r>
              <w:rPr>
                <w:rFonts w:hint="eastAsia" w:ascii="仿宋_GB2312" w:hAnsi="宋体" w:eastAsia="仿宋_GB2312" w:cs="仿宋_GB2312"/>
                <w:color w:val="000000"/>
                <w:kern w:val="0"/>
                <w:sz w:val="24"/>
                <w:szCs w:val="24"/>
                <w:lang w:bidi="ar"/>
              </w:rPr>
              <w:t>材料：</w:t>
            </w:r>
            <w:r>
              <w:rPr>
                <w:rFonts w:hint="eastAsia"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①取消</w:t>
            </w:r>
            <w:r>
              <w:rPr>
                <w:rFonts w:hint="eastAsia" w:ascii="仿宋_GB2312" w:hAnsi="宋体" w:eastAsia="仿宋_GB2312" w:cs="仿宋_GB2312"/>
                <w:color w:val="000000"/>
                <w:kern w:val="0"/>
                <w:sz w:val="24"/>
                <w:szCs w:val="24"/>
                <w:lang w:eastAsia="zh-CN" w:bidi="ar"/>
              </w:rPr>
              <w:t>许可</w:t>
            </w:r>
            <w:r>
              <w:rPr>
                <w:rFonts w:hint="eastAsia" w:ascii="仿宋_GB2312" w:hAnsi="宋体" w:eastAsia="仿宋_GB2312" w:cs="仿宋_GB2312"/>
                <w:color w:val="000000"/>
                <w:kern w:val="0"/>
                <w:sz w:val="24"/>
                <w:szCs w:val="24"/>
                <w:lang w:bidi="ar"/>
              </w:rPr>
              <w:t>条件中对“经营场所”面积的要求。</w:t>
            </w:r>
            <w:r>
              <w:rPr>
                <w:rFonts w:hint="eastAsia"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②取消</w:t>
            </w:r>
            <w:r>
              <w:rPr>
                <w:rFonts w:hint="eastAsia" w:ascii="仿宋_GB2312" w:hAnsi="宋体" w:eastAsia="仿宋_GB2312" w:cs="仿宋_GB2312"/>
                <w:color w:val="000000"/>
                <w:kern w:val="0"/>
                <w:sz w:val="24"/>
                <w:szCs w:val="24"/>
                <w:lang w:eastAsia="zh-CN" w:bidi="ar"/>
              </w:rPr>
              <w:t>许可</w:t>
            </w:r>
            <w:r>
              <w:rPr>
                <w:rFonts w:hint="eastAsia" w:ascii="仿宋_GB2312" w:hAnsi="宋体" w:eastAsia="仿宋_GB2312" w:cs="仿宋_GB2312"/>
                <w:color w:val="000000"/>
                <w:kern w:val="0"/>
                <w:sz w:val="24"/>
                <w:szCs w:val="24"/>
                <w:lang w:bidi="ar"/>
              </w:rPr>
              <w:t>条件中对“持特种作业操作证（电工）人员”中特种电工（电力电缆作业、继电保护作业、电气试验作业）数量的要求。</w:t>
            </w:r>
            <w:r>
              <w:rPr>
                <w:rFonts w:hint="eastAsia"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③精简申请材料：不再要求申请人提供法人营业执照、注册建造师证书复印件，通过部门信息共享或网络查验获取有关信息。</w:t>
            </w:r>
          </w:p>
          <w:p>
            <w:pPr>
              <w:widowControl/>
              <w:jc w:val="left"/>
              <w:textAlignment w:val="top"/>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3.压减审批时限：审批时限由20日压减</w:t>
            </w:r>
            <w:r>
              <w:rPr>
                <w:rFonts w:hint="eastAsia" w:ascii="仿宋_GB2312" w:hAnsi="宋体" w:eastAsia="仿宋_GB2312" w:cs="仿宋_GB2312"/>
                <w:color w:val="000000"/>
                <w:kern w:val="0"/>
                <w:sz w:val="24"/>
                <w:szCs w:val="24"/>
                <w:lang w:eastAsia="zh-CN" w:bidi="ar"/>
              </w:rPr>
              <w:t>至</w:t>
            </w:r>
            <w:r>
              <w:rPr>
                <w:rFonts w:hint="eastAsia" w:ascii="仿宋_GB2312" w:hAnsi="宋体" w:eastAsia="仿宋_GB2312" w:cs="仿宋_GB2312"/>
                <w:color w:val="000000"/>
                <w:kern w:val="0"/>
                <w:sz w:val="24"/>
                <w:szCs w:val="24"/>
                <w:lang w:bidi="ar"/>
              </w:rPr>
              <w:t>15日。</w:t>
            </w:r>
          </w:p>
        </w:tc>
        <w:tc>
          <w:tcPr>
            <w:tcW w:w="2206" w:type="dxa"/>
            <w:vMerge w:val="restart"/>
            <w:shd w:val="clear" w:color="auto" w:fill="FFFFFF"/>
            <w:noWrap w:val="0"/>
            <w:tcMar>
              <w:top w:w="10" w:type="dxa"/>
              <w:left w:w="10" w:type="dxa"/>
              <w:right w:w="10" w:type="dxa"/>
            </w:tcMar>
            <w:vAlign w:val="center"/>
          </w:tcPr>
          <w:p>
            <w:pPr>
              <w:jc w:val="left"/>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1.加快推进“互联网+监管”，对持证企业遵守许可制度等情况实行事中事后动态监管。深入开展“双随机、一公开”监管，完善“双随机”抽查工作机制，根据风险水平、信用等级，合理确定抽查比例。风险水平低、信用等级高的，降低抽查比例和频次；风险水平高、信用等级低的，提高抽查比例和频次，抽查检查结果及时向社会公开。</w:t>
            </w:r>
          </w:p>
          <w:p>
            <w:pPr>
              <w:jc w:val="left"/>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2.全面开展许可信用监管，实行信用分类监管清单制度，依据《承装（修、试）电力设施许可信用监管应用措施清单》对监管对象采取差异化的信用监管措施，实现守信激励、失信惩戒。</w:t>
            </w:r>
          </w:p>
          <w:p>
            <w:pPr>
              <w:jc w:val="left"/>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3.依法查处违法违规行为，对严重违法的企业依法撤销、吊销许可证，实施市场禁入措施。</w:t>
            </w:r>
          </w:p>
          <w:p>
            <w:r>
              <w:rPr>
                <w:rFonts w:hint="eastAsia" w:ascii="仿宋_GB2312" w:hAnsi="宋体" w:eastAsia="仿宋_GB2312" w:cs="仿宋_GB2312"/>
                <w:color w:val="000000"/>
                <w:sz w:val="24"/>
                <w:szCs w:val="24"/>
              </w:rPr>
              <w:t>4.推进部门间信息共享，将行政许可等信息及时归集至能源行业信用信息平台，通过能源行业信用信息平台报送至全国信用信息共享平台等政务信息共享系统。</w:t>
            </w:r>
          </w:p>
          <w:p/>
          <w:p>
            <w:pPr>
              <w:jc w:val="left"/>
              <w:rPr>
                <w:rFonts w:hint="eastAsia" w:ascii="仿宋_GB2312" w:hAnsi="宋体"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6" w:hRule="atLeast"/>
        </w:trPr>
        <w:tc>
          <w:tcPr>
            <w:tcW w:w="859"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c>
          <w:tcPr>
            <w:tcW w:w="1416"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c>
          <w:tcPr>
            <w:tcW w:w="1079" w:type="dxa"/>
            <w:shd w:val="clear" w:color="auto" w:fill="FFFFFF"/>
            <w:noWrap w:val="0"/>
            <w:tcMar>
              <w:top w:w="10" w:type="dxa"/>
              <w:left w:w="10" w:type="dxa"/>
              <w:right w:w="10" w:type="dxa"/>
            </w:tcMar>
            <w:vAlign w:val="center"/>
          </w:tcPr>
          <w:p>
            <w:pPr>
              <w:widowControl/>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许可事项变更</w:t>
            </w:r>
          </w:p>
        </w:tc>
        <w:tc>
          <w:tcPr>
            <w:tcW w:w="1515"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c>
          <w:tcPr>
            <w:tcW w:w="1516"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c>
          <w:tcPr>
            <w:tcW w:w="5554" w:type="dxa"/>
            <w:shd w:val="clear" w:color="auto" w:fill="FFFFFF"/>
            <w:noWrap w:val="0"/>
            <w:tcMar>
              <w:top w:w="10" w:type="dxa"/>
              <w:left w:w="10" w:type="dxa"/>
              <w:right w:w="10" w:type="dxa"/>
            </w:tcMar>
            <w:vAlign w:val="top"/>
          </w:tcPr>
          <w:p>
            <w:pPr>
              <w:widowControl/>
              <w:jc w:val="left"/>
              <w:textAlignment w:val="top"/>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1.全程网上办理。</w:t>
            </w:r>
            <w:r>
              <w:rPr>
                <w:rFonts w:hint="eastAsia"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2.精简许可条件和申请材料（同新申请改革措施）。</w:t>
            </w:r>
          </w:p>
          <w:p>
            <w:pPr>
              <w:widowControl/>
              <w:jc w:val="left"/>
              <w:textAlignment w:val="top"/>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3.压减审批时限：审批时限由20日压减</w:t>
            </w:r>
            <w:r>
              <w:rPr>
                <w:rFonts w:hint="eastAsia" w:ascii="仿宋_GB2312" w:hAnsi="宋体" w:eastAsia="仿宋_GB2312" w:cs="仿宋_GB2312"/>
                <w:color w:val="000000"/>
                <w:kern w:val="0"/>
                <w:sz w:val="24"/>
                <w:szCs w:val="24"/>
                <w:lang w:eastAsia="zh-CN" w:bidi="ar"/>
              </w:rPr>
              <w:t>至</w:t>
            </w:r>
            <w:r>
              <w:rPr>
                <w:rFonts w:hint="eastAsia" w:ascii="仿宋_GB2312" w:hAnsi="宋体" w:eastAsia="仿宋_GB2312" w:cs="仿宋_GB2312"/>
                <w:color w:val="000000"/>
                <w:kern w:val="0"/>
                <w:sz w:val="24"/>
                <w:szCs w:val="24"/>
                <w:lang w:bidi="ar"/>
              </w:rPr>
              <w:t>15日。</w:t>
            </w:r>
          </w:p>
        </w:tc>
        <w:tc>
          <w:tcPr>
            <w:tcW w:w="2206"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7" w:hRule="atLeast"/>
        </w:trPr>
        <w:tc>
          <w:tcPr>
            <w:tcW w:w="859"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c>
          <w:tcPr>
            <w:tcW w:w="1416"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c>
          <w:tcPr>
            <w:tcW w:w="1079" w:type="dxa"/>
            <w:shd w:val="clear" w:color="auto" w:fill="FFFFFF"/>
            <w:noWrap w:val="0"/>
            <w:tcMar>
              <w:top w:w="10" w:type="dxa"/>
              <w:left w:w="10" w:type="dxa"/>
              <w:right w:w="10" w:type="dxa"/>
            </w:tcMar>
            <w:vAlign w:val="center"/>
          </w:tcPr>
          <w:p>
            <w:pPr>
              <w:widowControl/>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许可证有效期延续</w:t>
            </w:r>
          </w:p>
        </w:tc>
        <w:tc>
          <w:tcPr>
            <w:tcW w:w="1515"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c>
          <w:tcPr>
            <w:tcW w:w="1516"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c>
          <w:tcPr>
            <w:tcW w:w="5554" w:type="dxa"/>
            <w:shd w:val="clear" w:color="auto" w:fill="FFFFFF"/>
            <w:noWrap w:val="0"/>
            <w:tcMar>
              <w:top w:w="10" w:type="dxa"/>
              <w:left w:w="10" w:type="dxa"/>
              <w:right w:w="10" w:type="dxa"/>
            </w:tcMar>
            <w:vAlign w:val="top"/>
          </w:tcPr>
          <w:p>
            <w:pPr>
              <w:widowControl/>
              <w:jc w:val="left"/>
              <w:textAlignment w:val="top"/>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1.全程网上办理。</w:t>
            </w:r>
            <w:r>
              <w:rPr>
                <w:rFonts w:hint="eastAsia"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2.精简许可条件和申请材料（同新申请改革措施）。</w:t>
            </w:r>
          </w:p>
          <w:p>
            <w:pPr>
              <w:widowControl/>
              <w:jc w:val="left"/>
              <w:textAlignment w:val="top"/>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3.压减审批时限：审批时限由20日压减</w:t>
            </w:r>
            <w:r>
              <w:rPr>
                <w:rFonts w:hint="eastAsia" w:ascii="仿宋_GB2312" w:hAnsi="宋体" w:eastAsia="仿宋_GB2312" w:cs="仿宋_GB2312"/>
                <w:color w:val="000000"/>
                <w:kern w:val="0"/>
                <w:sz w:val="24"/>
                <w:szCs w:val="24"/>
                <w:lang w:eastAsia="zh-CN" w:bidi="ar"/>
              </w:rPr>
              <w:t>至</w:t>
            </w:r>
            <w:r>
              <w:rPr>
                <w:rFonts w:hint="eastAsia" w:ascii="仿宋_GB2312" w:hAnsi="宋体" w:eastAsia="仿宋_GB2312" w:cs="仿宋_GB2312"/>
                <w:color w:val="000000"/>
                <w:kern w:val="0"/>
                <w:sz w:val="24"/>
                <w:szCs w:val="24"/>
                <w:lang w:bidi="ar"/>
              </w:rPr>
              <w:t>10日。</w:t>
            </w:r>
          </w:p>
        </w:tc>
        <w:tc>
          <w:tcPr>
            <w:tcW w:w="2206"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4" w:hRule="atLeast"/>
        </w:trPr>
        <w:tc>
          <w:tcPr>
            <w:tcW w:w="859"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c>
          <w:tcPr>
            <w:tcW w:w="1416"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c>
          <w:tcPr>
            <w:tcW w:w="1079" w:type="dxa"/>
            <w:shd w:val="clear" w:color="auto" w:fill="FFFFFF"/>
            <w:noWrap w:val="0"/>
            <w:tcMar>
              <w:top w:w="10" w:type="dxa"/>
              <w:left w:w="10" w:type="dxa"/>
              <w:right w:w="10" w:type="dxa"/>
            </w:tcMar>
            <w:vAlign w:val="center"/>
          </w:tcPr>
          <w:p>
            <w:pPr>
              <w:widowControl/>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登记事项变更</w:t>
            </w:r>
          </w:p>
        </w:tc>
        <w:tc>
          <w:tcPr>
            <w:tcW w:w="1515"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c>
          <w:tcPr>
            <w:tcW w:w="1516"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c>
          <w:tcPr>
            <w:tcW w:w="5554" w:type="dxa"/>
            <w:shd w:val="clear" w:color="auto" w:fill="FFFFFF"/>
            <w:noWrap w:val="0"/>
            <w:tcMar>
              <w:top w:w="10" w:type="dxa"/>
              <w:left w:w="10" w:type="dxa"/>
              <w:right w:w="10" w:type="dxa"/>
            </w:tcMar>
            <w:vAlign w:val="top"/>
          </w:tcPr>
          <w:p>
            <w:pPr>
              <w:widowControl/>
              <w:jc w:val="left"/>
              <w:textAlignment w:val="top"/>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1.全程网上办理。</w:t>
            </w:r>
            <w:r>
              <w:rPr>
                <w:rFonts w:hint="eastAsia"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2.精简申请材料：不再要求申请人提供法人营业执照、许可证原件，通过部门信息共享或网络查验获取有关信息。</w:t>
            </w:r>
          </w:p>
          <w:p>
            <w:pPr>
              <w:widowControl/>
              <w:jc w:val="left"/>
              <w:textAlignment w:val="top"/>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3.压减审批时限：审批时限由15日压减</w:t>
            </w:r>
            <w:r>
              <w:rPr>
                <w:rFonts w:hint="eastAsia" w:ascii="仿宋_GB2312" w:hAnsi="宋体" w:eastAsia="仿宋_GB2312" w:cs="仿宋_GB2312"/>
                <w:color w:val="000000"/>
                <w:kern w:val="0"/>
                <w:sz w:val="24"/>
                <w:szCs w:val="24"/>
                <w:lang w:eastAsia="zh-CN" w:bidi="ar"/>
              </w:rPr>
              <w:t>至</w:t>
            </w:r>
            <w:r>
              <w:rPr>
                <w:rFonts w:hint="eastAsia" w:ascii="仿宋_GB2312" w:hAnsi="宋体" w:eastAsia="仿宋_GB2312" w:cs="仿宋_GB2312"/>
                <w:color w:val="000000"/>
                <w:kern w:val="0"/>
                <w:sz w:val="24"/>
                <w:szCs w:val="24"/>
                <w:lang w:bidi="ar"/>
              </w:rPr>
              <w:t>10日，不需经行政许可委员会审议，采用由派出能源监管机构负责人直接签批方式办理。</w:t>
            </w:r>
          </w:p>
        </w:tc>
        <w:tc>
          <w:tcPr>
            <w:tcW w:w="2206"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859"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c>
          <w:tcPr>
            <w:tcW w:w="1416"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c>
          <w:tcPr>
            <w:tcW w:w="1079" w:type="dxa"/>
            <w:shd w:val="clear" w:color="auto" w:fill="FFFFFF"/>
            <w:noWrap w:val="0"/>
            <w:tcMar>
              <w:top w:w="10" w:type="dxa"/>
              <w:left w:w="10" w:type="dxa"/>
              <w:right w:w="10" w:type="dxa"/>
            </w:tcMar>
            <w:vAlign w:val="center"/>
          </w:tcPr>
          <w:p>
            <w:pPr>
              <w:widowControl/>
              <w:jc w:val="center"/>
              <w:textAlignment w:val="center"/>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许可证补办</w:t>
            </w:r>
          </w:p>
        </w:tc>
        <w:tc>
          <w:tcPr>
            <w:tcW w:w="1515"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c>
          <w:tcPr>
            <w:tcW w:w="1516"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c>
          <w:tcPr>
            <w:tcW w:w="5554" w:type="dxa"/>
            <w:shd w:val="clear" w:color="auto" w:fill="FFFFFF"/>
            <w:noWrap w:val="0"/>
            <w:tcMar>
              <w:top w:w="10" w:type="dxa"/>
              <w:left w:w="10" w:type="dxa"/>
              <w:right w:w="10" w:type="dxa"/>
            </w:tcMar>
            <w:vAlign w:val="top"/>
          </w:tcPr>
          <w:p>
            <w:pPr>
              <w:widowControl/>
              <w:jc w:val="left"/>
              <w:textAlignment w:val="top"/>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1.全程网上办理。</w:t>
            </w:r>
            <w:r>
              <w:rPr>
                <w:rFonts w:hint="eastAsia"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2.精简申请材料：不再要求申请人提供法人营业执照复印件，通过部门信息共享或网络查验获取有关信息；不再要求申请人在规定的媒体上刊登遗失声明，由许可机关在官方网站发布公告。</w:t>
            </w:r>
          </w:p>
          <w:p>
            <w:pPr>
              <w:widowControl/>
              <w:jc w:val="left"/>
              <w:textAlignment w:val="top"/>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3.压减审批时限：具备条件的</w:t>
            </w:r>
            <w:r>
              <w:rPr>
                <w:rFonts w:hint="eastAsia" w:ascii="仿宋_GB2312" w:hAnsi="宋体" w:eastAsia="仿宋_GB2312" w:cs="仿宋_GB2312"/>
                <w:color w:val="000000"/>
                <w:kern w:val="0"/>
                <w:sz w:val="24"/>
                <w:szCs w:val="24"/>
                <w:lang w:eastAsia="zh-CN" w:bidi="ar"/>
              </w:rPr>
              <w:t>在</w:t>
            </w:r>
            <w:r>
              <w:rPr>
                <w:rFonts w:hint="eastAsia" w:ascii="仿宋_GB2312" w:hAnsi="宋体" w:eastAsia="仿宋_GB2312" w:cs="仿宋_GB2312"/>
                <w:color w:val="000000"/>
                <w:kern w:val="0"/>
                <w:sz w:val="24"/>
                <w:szCs w:val="24"/>
                <w:lang w:bidi="ar"/>
              </w:rPr>
              <w:t>受理当日补发许可证，不需经行政许可委员会审议，采用由派出能源监管机构负责人直接签批方式办理。</w:t>
            </w:r>
          </w:p>
        </w:tc>
        <w:tc>
          <w:tcPr>
            <w:tcW w:w="2206" w:type="dxa"/>
            <w:vMerge w:val="continue"/>
            <w:shd w:val="clear" w:color="auto" w:fill="FFFFFF"/>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p>
        </w:tc>
      </w:tr>
    </w:tbl>
    <w:p/>
    <w:sectPr>
      <w:footerReference r:id="rId3" w:type="default"/>
      <w:pgSz w:w="16838" w:h="11906" w:orient="landscape"/>
      <w:pgMar w:top="1800" w:right="1440" w:bottom="1263" w:left="1440" w:header="851" w:footer="992" w:gutter="0"/>
      <w:pgNumType w:fmt="numberInDash" w:start="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before="0" w:beforeLines="0" w:after="40" w:afterLines="0" w:line="240" w:lineRule="auto"/>
      <w:ind w:left="0" w:leftChars="0" w:right="567" w:rightChars="0" w:firstLine="0" w:firstLineChars="0"/>
      <w:jc w:val="right"/>
      <w:textAlignment w:val="bottom"/>
      <w:outlineLvl w:val="9"/>
      <w:rPr>
        <w:rFonts w:hint="eastAsia" w:ascii="宋体" w:hAnsi="宋体" w:eastAsia="宋体"/>
        <w:sz w:val="28"/>
        <w:lang w:eastAsia="zh-CN"/>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beforeLines="0" w:after="40" w:afterLines="0" w:line="240" w:lineRule="auto"/>
                            <w:ind w:left="0" w:leftChars="0" w:right="567" w:rightChars="0" w:firstLine="0" w:firstLineChars="0"/>
                            <w:jc w:val="right"/>
                            <w:textAlignment w:val="bottom"/>
                            <w:outlineLvl w:val="9"/>
                          </w:pPr>
                          <w:r>
                            <w:rPr>
                              <w:rFonts w:hint="eastAsia" w:ascii="宋体" w:hAnsi="宋体" w:eastAsia="宋体"/>
                              <w:spacing w:val="0"/>
                              <w:sz w:val="28"/>
                              <w:lang w:eastAsia="zh-CN"/>
                            </w:rPr>
                            <w:t>—</w:t>
                          </w:r>
                          <w:r>
                            <w:rPr>
                              <w:rFonts w:hint="eastAsia" w:ascii="宋体" w:hAnsi="宋体" w:eastAsia="宋体"/>
                              <w:spacing w:val="0"/>
                              <w:sz w:val="28"/>
                              <w:lang w:val="en-US" w:eastAsia="zh-CN"/>
                            </w:rPr>
                            <w:t xml:space="preserve"> </w:t>
                          </w:r>
                          <w:r>
                            <w:rPr>
                              <w:rFonts w:hint="eastAsia" w:eastAsia="宋体"/>
                              <w:spacing w:val="0"/>
                              <w:sz w:val="28"/>
                            </w:rPr>
                            <w:fldChar w:fldCharType="begin"/>
                          </w:r>
                          <w:r>
                            <w:rPr>
                              <w:rFonts w:hint="eastAsia" w:eastAsia="宋体"/>
                              <w:spacing w:val="0"/>
                              <w:sz w:val="28"/>
                            </w:rPr>
                            <w:instrText xml:space="preserve"> PAGE \* Arabic \* MERGEFORMAT </w:instrText>
                          </w:r>
                          <w:r>
                            <w:rPr>
                              <w:rFonts w:hint="eastAsia" w:eastAsia="宋体"/>
                              <w:spacing w:val="0"/>
                              <w:sz w:val="28"/>
                            </w:rPr>
                            <w:fldChar w:fldCharType="separate"/>
                          </w:r>
                          <w:r>
                            <w:t>1</w:t>
                          </w:r>
                          <w:r>
                            <w:rPr>
                              <w:rFonts w:hint="eastAsia" w:eastAsia="宋体"/>
                              <w:spacing w:val="0"/>
                              <w:sz w:val="28"/>
                            </w:rPr>
                            <w:fldChar w:fldCharType="end"/>
                          </w:r>
                          <w:r>
                            <w:rPr>
                              <w:rFonts w:hint="eastAsia" w:eastAsia="宋体"/>
                              <w:spacing w:val="0"/>
                              <w:sz w:val="28"/>
                              <w:lang w:val="en-US" w:eastAsia="zh-CN"/>
                            </w:rPr>
                            <w:t xml:space="preserve"> </w:t>
                          </w:r>
                          <w:r>
                            <w:rPr>
                              <w:rFonts w:hint="eastAsia" w:ascii="宋体" w:hAnsi="宋体" w:eastAsia="宋体"/>
                              <w:sz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spacing w:before="0" w:beforeLines="0" w:after="40" w:afterLines="0" w:line="240" w:lineRule="auto"/>
                      <w:ind w:left="0" w:leftChars="0" w:right="567" w:rightChars="0" w:firstLine="0" w:firstLineChars="0"/>
                      <w:jc w:val="right"/>
                      <w:textAlignment w:val="bottom"/>
                      <w:outlineLvl w:val="9"/>
                    </w:pPr>
                    <w:r>
                      <w:rPr>
                        <w:rFonts w:hint="eastAsia" w:ascii="宋体" w:hAnsi="宋体" w:eastAsia="宋体"/>
                        <w:spacing w:val="0"/>
                        <w:sz w:val="28"/>
                        <w:lang w:eastAsia="zh-CN"/>
                      </w:rPr>
                      <w:t>—</w:t>
                    </w:r>
                    <w:r>
                      <w:rPr>
                        <w:rFonts w:hint="eastAsia" w:ascii="宋体" w:hAnsi="宋体" w:eastAsia="宋体"/>
                        <w:spacing w:val="0"/>
                        <w:sz w:val="28"/>
                        <w:lang w:val="en-US" w:eastAsia="zh-CN"/>
                      </w:rPr>
                      <w:t xml:space="preserve"> </w:t>
                    </w:r>
                    <w:r>
                      <w:rPr>
                        <w:rFonts w:hint="eastAsia" w:eastAsia="宋体"/>
                        <w:spacing w:val="0"/>
                        <w:sz w:val="28"/>
                      </w:rPr>
                      <w:fldChar w:fldCharType="begin"/>
                    </w:r>
                    <w:r>
                      <w:rPr>
                        <w:rFonts w:hint="eastAsia" w:eastAsia="宋体"/>
                        <w:spacing w:val="0"/>
                        <w:sz w:val="28"/>
                      </w:rPr>
                      <w:instrText xml:space="preserve"> PAGE \* Arabic \* MERGEFORMAT </w:instrText>
                    </w:r>
                    <w:r>
                      <w:rPr>
                        <w:rFonts w:hint="eastAsia" w:eastAsia="宋体"/>
                        <w:spacing w:val="0"/>
                        <w:sz w:val="28"/>
                      </w:rPr>
                      <w:fldChar w:fldCharType="separate"/>
                    </w:r>
                    <w:r>
                      <w:t>1</w:t>
                    </w:r>
                    <w:r>
                      <w:rPr>
                        <w:rFonts w:hint="eastAsia" w:eastAsia="宋体"/>
                        <w:spacing w:val="0"/>
                        <w:sz w:val="28"/>
                      </w:rPr>
                      <w:fldChar w:fldCharType="end"/>
                    </w:r>
                    <w:r>
                      <w:rPr>
                        <w:rFonts w:hint="eastAsia" w:eastAsia="宋体"/>
                        <w:spacing w:val="0"/>
                        <w:sz w:val="28"/>
                        <w:lang w:val="en-US" w:eastAsia="zh-CN"/>
                      </w:rPr>
                      <w:t xml:space="preserve"> </w:t>
                    </w:r>
                    <w:r>
                      <w:rPr>
                        <w:rFonts w:hint="eastAsia" w:ascii="宋体" w:hAnsi="宋体" w:eastAsia="宋体"/>
                        <w:sz w:val="28"/>
                        <w:lang w:eastAsia="zh-CN"/>
                      </w:rPr>
                      <w:t>—</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8514D2"/>
    <w:rsid w:val="2C6658C5"/>
    <w:rsid w:val="3B057DEB"/>
    <w:rsid w:val="3B58049B"/>
    <w:rsid w:val="50062399"/>
    <w:rsid w:val="511F0341"/>
    <w:rsid w:val="64756EED"/>
    <w:rsid w:val="673333EC"/>
    <w:rsid w:val="706F0B5C"/>
    <w:rsid w:val="75851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2019-11-28T01:59:00Z</dcterms:created>
  <dc:creator>Administrator</dc:creator>
  <cp:lastModifiedBy>Administrator</cp:lastModifiedBy>
  <cp:lastPrinted>2019-11-28T02:58:35Z</cp:lastPrinted>
  <dcterms:modified xsi:type="dcterms:W3CDTF">2019-11-28T02:58:50Z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