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right="0" w:rightChars="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rPr>
          <w:rFonts w:ascii="仿宋_GB2312" w:hAnsi="宋体" w:eastAsia="仿宋_GB2312" w:cs="宋体"/>
          <w:kern w:val="0"/>
          <w:sz w:val="32"/>
          <w:szCs w:val="32"/>
        </w:rPr>
      </w:pPr>
      <w:r>
        <w:rPr>
          <w:rFonts w:hint="eastAsia" w:ascii="方正小标宋简体" w:hAnsi="方正小标宋简体" w:eastAsia="方正小标宋简体" w:cs="方正小标宋简体"/>
          <w:kern w:val="0"/>
          <w:sz w:val="44"/>
          <w:szCs w:val="44"/>
          <w:lang w:val="en-US" w:eastAsia="zh-CN"/>
        </w:rPr>
        <w:t>修改说明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pacing w:line="560" w:lineRule="exact"/>
        <w:ind w:left="0" w:right="0" w:rightChars="0" w:firstLine="639"/>
        <w:textAlignment w:val="auto"/>
        <w:rPr>
          <w:rFonts w:hint="eastAsia" w:ascii="仿宋_GB2312" w:hAnsi="仿宋_GB2312" w:cs="仿宋_GB2312"/>
          <w:sz w:val="32"/>
          <w:szCs w:val="32"/>
          <w:lang w:eastAsia="zh-CN"/>
        </w:rPr>
      </w:pPr>
      <w:r>
        <w:rPr>
          <w:rFonts w:hint="eastAsia" w:ascii="仿宋_GB2312" w:hAnsi="仿宋_GB2312" w:cs="仿宋_GB2312"/>
          <w:szCs w:val="32"/>
          <w:lang w:eastAsia="zh-CN"/>
        </w:rPr>
        <w:t>根据</w:t>
      </w:r>
      <w:r>
        <w:rPr>
          <w:rFonts w:hint="eastAsia" w:ascii="仿宋_GB2312" w:hAnsi="仿宋_GB2312" w:cs="仿宋_GB2312"/>
          <w:szCs w:val="32"/>
        </w:rPr>
        <w:t>《国务院关于取消一批行政许可事项的决定》（国发〔2017〕46号）</w:t>
      </w:r>
      <w:r>
        <w:rPr>
          <w:rFonts w:hint="eastAsia" w:ascii="仿宋_GB2312" w:hAnsi="仿宋_GB2312" w:cs="仿宋_GB2312"/>
          <w:szCs w:val="32"/>
          <w:lang w:eastAsia="zh-CN"/>
        </w:rPr>
        <w:t>文件要求，电工</w:t>
      </w:r>
      <w:r>
        <w:rPr>
          <w:rFonts w:hint="eastAsia" w:ascii="仿宋_GB2312" w:hAnsi="仿宋_GB2312" w:eastAsia="仿宋_GB2312" w:cs="仿宋_GB2312"/>
          <w:sz w:val="32"/>
          <w:szCs w:val="32"/>
          <w:lang w:eastAsia="zh-CN"/>
        </w:rPr>
        <w:t>进网作业许可证</w:t>
      </w:r>
      <w:r>
        <w:rPr>
          <w:rFonts w:hint="eastAsia" w:ascii="仿宋_GB2312" w:hAnsi="仿宋_GB2312" w:cs="仿宋_GB2312"/>
          <w:sz w:val="32"/>
          <w:szCs w:val="32"/>
          <w:lang w:eastAsia="zh-CN"/>
        </w:rPr>
        <w:t>核发已取消。目前，</w:t>
      </w:r>
      <w:r>
        <w:rPr>
          <w:rFonts w:hint="eastAsia" w:ascii="仿宋_GB2312" w:hAnsi="仿宋_GB2312" w:eastAsia="仿宋_GB2312" w:cs="仿宋_GB2312"/>
          <w:sz w:val="32"/>
          <w:szCs w:val="32"/>
          <w:lang w:eastAsia="zh-CN"/>
        </w:rPr>
        <w:t>电工进网作业许可证</w:t>
      </w:r>
      <w:r>
        <w:rPr>
          <w:rFonts w:hint="eastAsia" w:ascii="仿宋_GB2312" w:hAnsi="仿宋_GB2312" w:cs="仿宋_GB2312"/>
          <w:sz w:val="32"/>
          <w:szCs w:val="32"/>
          <w:lang w:eastAsia="zh-CN"/>
        </w:rPr>
        <w:t>与特种作业操作证（电工）</w:t>
      </w:r>
      <w:r>
        <w:rPr>
          <w:rFonts w:hint="eastAsia" w:ascii="仿宋_GB2312" w:hAnsi="仿宋_GB2312" w:eastAsia="仿宋_GB2312" w:cs="仿宋_GB2312"/>
          <w:sz w:val="32"/>
          <w:szCs w:val="32"/>
          <w:lang w:eastAsia="zh-CN"/>
        </w:rPr>
        <w:t>已</w:t>
      </w:r>
      <w:r>
        <w:rPr>
          <w:rFonts w:hint="eastAsia" w:ascii="仿宋_GB2312" w:hAnsi="仿宋_GB2312" w:cs="仿宋_GB2312"/>
          <w:sz w:val="32"/>
          <w:szCs w:val="32"/>
          <w:lang w:eastAsia="zh-CN"/>
        </w:rPr>
        <w:t>完成整合，为做好</w:t>
      </w:r>
      <w:r>
        <w:rPr>
          <w:rFonts w:hint="eastAsia" w:ascii="仿宋_GB2312" w:hAnsi="仿宋_GB2312" w:cs="仿宋_GB2312"/>
          <w:szCs w:val="32"/>
          <w:lang w:val="en-US" w:eastAsia="zh-CN"/>
        </w:rPr>
        <w:t>承装（修、试）电力设施许可管理工作，</w:t>
      </w:r>
      <w:r>
        <w:rPr>
          <w:rFonts w:hint="eastAsia" w:ascii="仿宋_GB2312" w:hAnsi="仿宋_GB2312" w:cs="仿宋_GB2312"/>
          <w:szCs w:val="32"/>
          <w:lang w:eastAsia="zh-CN"/>
        </w:rPr>
        <w:t>亟需对</w:t>
      </w:r>
      <w:r>
        <w:rPr>
          <w:rFonts w:hint="eastAsia" w:ascii="仿宋_GB2312" w:hAnsi="仿宋_GB2312" w:cs="仿宋_GB2312"/>
          <w:szCs w:val="32"/>
          <w:lang w:val="en-US" w:eastAsia="zh-CN"/>
        </w:rPr>
        <w:t>《承装（修、试）电力设施许可证申请条件》等3个文件中涉及电工进网作业许可证的有关条款进行修改。</w:t>
      </w:r>
    </w:p>
    <w:p>
      <w:pPr>
        <w:pStyle w:val="8"/>
        <w:keepNext w:val="0"/>
        <w:keepLines w:val="0"/>
        <w:pageBreakBefore w:val="0"/>
        <w:widowControl w:val="0"/>
        <w:numPr>
          <w:ilvl w:val="0"/>
          <w:numId w:val="1"/>
        </w:numPr>
        <w:kinsoku/>
        <w:wordWrap/>
        <w:overflowPunct/>
        <w:topLinePunct w:val="0"/>
        <w:autoSpaceDE/>
        <w:autoSpaceDN/>
        <w:bidi w:val="0"/>
        <w:adjustRightInd/>
        <w:spacing w:line="560" w:lineRule="exact"/>
        <w:ind w:left="0" w:right="0" w:rightChars="0" w:firstLine="639"/>
        <w:textAlignment w:val="auto"/>
        <w:rPr>
          <w:rFonts w:hint="eastAsia" w:ascii="仿宋_GB2312" w:hAnsi="仿宋_GB2312" w:cs="仿宋_GB2312"/>
          <w:szCs w:val="32"/>
          <w:lang w:eastAsia="zh-CN"/>
        </w:rPr>
      </w:pPr>
      <w:r>
        <w:rPr>
          <w:rFonts w:hint="eastAsia" w:ascii="仿宋_GB2312" w:hAnsi="仿宋_GB2312" w:cs="仿宋_GB2312"/>
          <w:sz w:val="32"/>
          <w:szCs w:val="32"/>
          <w:lang w:val="en-US" w:eastAsia="zh-CN"/>
        </w:rPr>
        <w:t>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承装（修、试）电力设施许可证申请条件》（国能资质〔2015〕253号）</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en-US" w:eastAsia="zh-CN"/>
        </w:rPr>
        <w:t>《承装（修、试）电力设施许可证申请表》（国能综资质〔2015〕398号）</w:t>
      </w:r>
      <w:r>
        <w:rPr>
          <w:rFonts w:hint="eastAsia" w:ascii="仿宋_GB2312" w:hAnsi="仿宋_GB2312" w:cs="仿宋_GB2312"/>
          <w:sz w:val="32"/>
          <w:szCs w:val="32"/>
          <w:lang w:val="en-US" w:eastAsia="zh-CN"/>
        </w:rPr>
        <w:t>。</w:t>
      </w:r>
      <w:r>
        <w:rPr>
          <w:rFonts w:hint="eastAsia" w:ascii="仿宋_GB2312" w:hAnsi="仿宋_GB2312" w:cs="仿宋_GB2312"/>
          <w:sz w:val="32"/>
          <w:szCs w:val="32"/>
          <w:lang w:eastAsia="zh-CN"/>
        </w:rPr>
        <w:t>由于</w:t>
      </w:r>
      <w:r>
        <w:rPr>
          <w:rFonts w:hint="eastAsia" w:ascii="仿宋_GB2312" w:hAnsi="仿宋_GB2312" w:cs="仿宋_GB2312"/>
          <w:szCs w:val="32"/>
          <w:lang w:eastAsia="zh-CN"/>
        </w:rPr>
        <w:t>承装（修、试）电力设施许可证申请条件中对电工配置仍有要求，为进一步贯彻落实国务院文件精神，在许可证审核中做到职责清晰，因此对许可证申请条件及申请表中涉及电工进网作业许可证的部分内容进行修改，具体如下：</w:t>
      </w:r>
    </w:p>
    <w:p>
      <w:pPr>
        <w:keepNext w:val="0"/>
        <w:keepLines w:val="0"/>
        <w:pageBreakBefore w:val="0"/>
        <w:widowControl w:val="0"/>
        <w:numPr>
          <w:ilvl w:val="0"/>
          <w:numId w:val="0"/>
        </w:numPr>
        <w:tabs>
          <w:tab w:val="left" w:pos="7140"/>
          <w:tab w:val="left" w:pos="7350"/>
          <w:tab w:val="left" w:pos="7560"/>
        </w:tabs>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（一）将《</w:t>
      </w:r>
      <w:r>
        <w:rPr>
          <w:rFonts w:hint="eastAsia" w:ascii="仿宋_GB2312" w:hAnsi="仿宋_GB2312" w:eastAsia="仿宋_GB2312" w:cs="仿宋_GB2312"/>
          <w:sz w:val="32"/>
          <w:szCs w:val="32"/>
          <w:lang w:val="en-US" w:eastAsia="zh-CN"/>
        </w:rPr>
        <w:t>承装（修、试）电力设施许可证申请条件》中“进网作业许可证”修改为“特种作业操作证（电工）”。</w:t>
      </w:r>
    </w:p>
    <w:p>
      <w:pPr>
        <w:pStyle w:val="8"/>
        <w:keepNext w:val="0"/>
        <w:keepLines w:val="0"/>
        <w:pageBreakBefore w:val="0"/>
        <w:widowControl w:val="0"/>
        <w:numPr>
          <w:ilvl w:val="0"/>
          <w:numId w:val="0"/>
        </w:numPr>
        <w:kinsoku/>
        <w:wordWrap/>
        <w:overflowPunct/>
        <w:topLinePunct w:val="0"/>
        <w:autoSpaceDE/>
        <w:autoSpaceDN/>
        <w:bidi w:val="0"/>
        <w:adjustRightInd/>
        <w:spacing w:line="560" w:lineRule="exact"/>
        <w:ind w:left="14" w:leftChars="7" w:right="0" w:rightChars="0" w:firstLine="624" w:firstLineChars="195"/>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Cs w:val="32"/>
          <w:lang w:val="en-US" w:eastAsia="zh-CN"/>
        </w:rPr>
        <w:t>（二）</w:t>
      </w:r>
      <w:r>
        <w:rPr>
          <w:rFonts w:hint="eastAsia" w:ascii="仿宋_GB2312" w:hAnsi="仿宋_GB2312" w:eastAsia="仿宋_GB2312" w:cs="仿宋_GB2312"/>
          <w:sz w:val="32"/>
          <w:szCs w:val="32"/>
          <w:lang w:val="en-US" w:eastAsia="zh-CN"/>
        </w:rPr>
        <w:t>将《承装（修、试）电力设施许可证申请表》的“七、持电工进网作业许可证人员表”中“电工进网作业许可证”修改为“特种作业操作证（电工）”，“高压试验”修改为“电气试验”。</w:t>
      </w:r>
    </w:p>
    <w:p>
      <w:pPr>
        <w:pStyle w:val="8"/>
        <w:keepNext w:val="0"/>
        <w:keepLines w:val="0"/>
        <w:pageBreakBefore w:val="0"/>
        <w:widowControl w:val="0"/>
        <w:numPr>
          <w:ilvl w:val="0"/>
          <w:numId w:val="0"/>
        </w:numPr>
        <w:kinsoku/>
        <w:wordWrap/>
        <w:overflowPunct/>
        <w:topLinePunct w:val="0"/>
        <w:autoSpaceDE/>
        <w:autoSpaceDN/>
        <w:bidi w:val="0"/>
        <w:adjustRightInd/>
        <w:spacing w:line="560" w:lineRule="exact"/>
        <w:ind w:left="14" w:leftChars="7" w:right="0" w:rightChars="0" w:firstLine="624" w:firstLineChars="195"/>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修改依据：电工进网作业许可证核发已取消，</w:t>
      </w:r>
      <w:r>
        <w:rPr>
          <w:rFonts w:hint="eastAsia" w:ascii="仿宋_GB2312" w:hAnsi="仿宋_GB2312" w:cs="仿宋_GB2312"/>
          <w:sz w:val="32"/>
          <w:szCs w:val="32"/>
          <w:lang w:eastAsia="zh-CN"/>
        </w:rPr>
        <w:t>由安全监管部门考核发放“特种作业操作证（电工）”。原</w:t>
      </w:r>
      <w:r>
        <w:rPr>
          <w:rFonts w:hint="eastAsia" w:ascii="仿宋_GB2312" w:hAnsi="仿宋_GB2312" w:eastAsia="仿宋_GB2312" w:cs="仿宋_GB2312"/>
          <w:sz w:val="32"/>
          <w:szCs w:val="32"/>
          <w:lang w:eastAsia="zh-CN"/>
        </w:rPr>
        <w:t>电工进网作业许可证</w:t>
      </w:r>
      <w:r>
        <w:rPr>
          <w:rFonts w:hint="eastAsia" w:ascii="仿宋_GB2312" w:hAnsi="仿宋_GB2312" w:cs="仿宋_GB2312"/>
          <w:sz w:val="32"/>
          <w:szCs w:val="32"/>
          <w:lang w:eastAsia="zh-CN"/>
        </w:rPr>
        <w:t>与原特种作业操作证（电工）</w:t>
      </w:r>
      <w:r>
        <w:rPr>
          <w:rFonts w:hint="eastAsia" w:ascii="仿宋_GB2312" w:hAnsi="仿宋_GB2312" w:eastAsia="仿宋_GB2312" w:cs="仿宋_GB2312"/>
          <w:sz w:val="32"/>
          <w:szCs w:val="32"/>
          <w:lang w:eastAsia="zh-CN"/>
        </w:rPr>
        <w:t>已</w:t>
      </w:r>
      <w:r>
        <w:rPr>
          <w:rFonts w:hint="eastAsia" w:ascii="仿宋_GB2312" w:hAnsi="仿宋_GB2312" w:cs="仿宋_GB2312"/>
          <w:sz w:val="32"/>
          <w:szCs w:val="32"/>
          <w:lang w:eastAsia="zh-CN"/>
        </w:rPr>
        <w:t>完成整合，原电工进网作业许可证特种类“高压试验”调整为整合后特种作业（电工）目录中的“电气试验</w:t>
      </w:r>
      <w:r>
        <w:rPr>
          <w:rFonts w:hint="default" w:ascii="仿宋_GB2312" w:hAnsi="仿宋_GB2312" w:cs="仿宋_GB2312"/>
          <w:sz w:val="32"/>
          <w:szCs w:val="32"/>
          <w:lang w:val="en-US" w:eastAsia="zh-CN"/>
        </w:rPr>
        <w:t>”</w:t>
      </w:r>
      <w:r>
        <w:rPr>
          <w:rFonts w:hint="eastAsia" w:ascii="仿宋_GB2312" w:hAnsi="仿宋_GB2312" w:cs="仿宋_GB2312"/>
          <w:sz w:val="32"/>
          <w:szCs w:val="32"/>
          <w:lang w:val="en-US" w:eastAsia="zh-CN"/>
        </w:rPr>
        <w:t>。</w:t>
      </w:r>
    </w:p>
    <w:p>
      <w:pPr>
        <w:pStyle w:val="8"/>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right="0" w:rightChars="0" w:firstLine="639" w:firstLineChars="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修改</w:t>
      </w:r>
      <w:r>
        <w:rPr>
          <w:rFonts w:hint="eastAsia" w:ascii="仿宋_GB2312" w:hAnsi="仿宋_GB2312" w:eastAsia="仿宋_GB2312" w:cs="仿宋_GB2312"/>
          <w:sz w:val="32"/>
          <w:szCs w:val="32"/>
          <w:lang w:val="en-US" w:eastAsia="zh-CN"/>
        </w:rPr>
        <w:t>《承装（修、试）电力设施许可证监督管理实施办法》（电监资质〔2012〕24号）</w:t>
      </w:r>
      <w:r>
        <w:rPr>
          <w:rFonts w:hint="eastAsia" w:ascii="仿宋_GB2312" w:hAnsi="仿宋_GB2312" w:cs="仿宋_GB2312"/>
          <w:sz w:val="32"/>
          <w:szCs w:val="32"/>
          <w:lang w:val="en-US" w:eastAsia="zh-CN"/>
        </w:rPr>
        <w:t>中涉及电工进网作业许可证监督管理的有关条款，具体如下：</w:t>
      </w:r>
    </w:p>
    <w:p>
      <w:pPr>
        <w:pStyle w:val="8"/>
        <w:keepNext w:val="0"/>
        <w:keepLines w:val="0"/>
        <w:pageBreakBefore w:val="0"/>
        <w:widowControl w:val="0"/>
        <w:numPr>
          <w:ilvl w:val="0"/>
          <w:numId w:val="0"/>
        </w:numPr>
        <w:kinsoku/>
        <w:wordWrap/>
        <w:overflowPunct/>
        <w:topLinePunct w:val="0"/>
        <w:autoSpaceDE/>
        <w:autoSpaceDN/>
        <w:bidi w:val="0"/>
        <w:adjustRightInd/>
        <w:spacing w:line="560" w:lineRule="exact"/>
        <w:ind w:left="19" w:leftChars="0" w:right="0" w:rightChars="0" w:firstLine="617" w:firstLineChars="193"/>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（一）删去《承装（修、试）电力设施许可证监督管理实施办法》第十三条。即删去“派出机构对承装（修、试）电力设施单位遵守电工进网作业许可证制度的情况实施监督管理</w:t>
      </w:r>
      <w:r>
        <w:rPr>
          <w:rFonts w:hint="default" w:ascii="仿宋_GB2312" w:hAnsi="仿宋_GB2312" w:cs="仿宋_GB2312"/>
          <w:sz w:val="32"/>
          <w:szCs w:val="32"/>
          <w:lang w:val="en-US" w:eastAsia="zh-CN"/>
        </w:rPr>
        <w:t>”</w:t>
      </w:r>
      <w:r>
        <w:rPr>
          <w:rFonts w:hint="eastAsia" w:ascii="仿宋_GB2312" w:hAnsi="仿宋_GB2312" w:cs="仿宋_GB2312"/>
          <w:sz w:val="32"/>
          <w:szCs w:val="32"/>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pacing w:line="560" w:lineRule="exact"/>
        <w:ind w:left="14" w:leftChars="7" w:right="0" w:rightChars="0" w:firstLine="624" w:firstLineChars="195"/>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（二）删去第十五条</w:t>
      </w:r>
      <w:r>
        <w:rPr>
          <w:rFonts w:hint="eastAsia" w:ascii="仿宋_GB2312" w:hAnsi="仿宋_GB2312" w:eastAsia="仿宋_GB2312" w:cs="仿宋_GB2312"/>
          <w:sz w:val="32"/>
          <w:szCs w:val="32"/>
          <w:lang w:val="en-US" w:eastAsia="zh-CN"/>
        </w:rPr>
        <w:t>第三项。</w:t>
      </w:r>
      <w:r>
        <w:rPr>
          <w:rFonts w:hint="eastAsia" w:ascii="仿宋_GB2312" w:hAnsi="仿宋_GB2312" w:cs="仿宋_GB2312"/>
          <w:sz w:val="32"/>
          <w:szCs w:val="32"/>
          <w:lang w:val="en-US" w:eastAsia="zh-CN"/>
        </w:rPr>
        <w:t>即删去“承装（修、试）电力设施单位报送的自查报告应当包括下列内容”中“（三）遵守电工进网作业许可证制度情况”。</w:t>
      </w:r>
    </w:p>
    <w:p>
      <w:pPr>
        <w:pStyle w:val="8"/>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（三）删去第十八条</w:t>
      </w:r>
      <w:r>
        <w:rPr>
          <w:rFonts w:hint="eastAsia" w:ascii="仿宋_GB2312" w:hAnsi="仿宋_GB2312" w:eastAsia="仿宋_GB2312" w:cs="仿宋_GB2312"/>
          <w:sz w:val="32"/>
          <w:szCs w:val="32"/>
          <w:lang w:val="en-US" w:eastAsia="zh-CN"/>
        </w:rPr>
        <w:t>第六项。</w:t>
      </w:r>
      <w:r>
        <w:rPr>
          <w:rFonts w:hint="eastAsia" w:ascii="仿宋_GB2312" w:hAnsi="仿宋_GB2312" w:cs="仿宋_GB2312"/>
          <w:sz w:val="32"/>
          <w:szCs w:val="32"/>
          <w:lang w:val="en-US" w:eastAsia="zh-CN"/>
        </w:rPr>
        <w:t xml:space="preserve">即删去“派出机构应当加强对承装（修、试）电力设施单位施工现场下列情况的监督检查”中“（六）在用户受电、送电装置上作业的人员是否全部取得电工进网作业许可证并按照规定注册”。  </w:t>
      </w:r>
    </w:p>
    <w:p>
      <w:pPr>
        <w:pStyle w:val="8"/>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修改依据：</w:t>
      </w:r>
      <w:r>
        <w:rPr>
          <w:rFonts w:hint="eastAsia" w:ascii="仿宋_GB2312" w:hAnsi="仿宋_GB2312" w:cs="仿宋_GB2312"/>
          <w:szCs w:val="32"/>
        </w:rPr>
        <w:t>《国务院关于取消一批行政许可事项的决定》（国发〔2017〕46号）</w:t>
      </w:r>
      <w:r>
        <w:rPr>
          <w:rFonts w:hint="eastAsia" w:ascii="仿宋_GB2312" w:hAnsi="仿宋_GB2312" w:cs="仿宋_GB2312"/>
          <w:szCs w:val="32"/>
          <w:lang w:eastAsia="zh-CN"/>
        </w:rPr>
        <w:t>的附件</w:t>
      </w:r>
      <w:r>
        <w:rPr>
          <w:rFonts w:hint="eastAsia" w:ascii="仿宋_GB2312" w:hAnsi="仿宋_GB2312" w:cs="仿宋_GB2312"/>
          <w:szCs w:val="32"/>
          <w:lang w:val="en-US" w:eastAsia="zh-CN"/>
        </w:rPr>
        <w:t>1</w:t>
      </w:r>
      <w:r>
        <w:rPr>
          <w:rFonts w:hint="eastAsia" w:ascii="仿宋_GB2312" w:hAnsi="仿宋_GB2312" w:eastAsia="仿宋_GB2312" w:cs="仿宋_GB2312"/>
          <w:szCs w:val="32"/>
          <w:lang w:val="en-US" w:eastAsia="zh-CN"/>
        </w:rPr>
        <w:t>“</w:t>
      </w:r>
      <w:r>
        <w:rPr>
          <w:rFonts w:hint="eastAsia" w:ascii="仿宋_GB2312" w:hAnsi="仿宋_GB2312" w:cs="仿宋_GB2312"/>
          <w:szCs w:val="32"/>
          <w:lang w:val="en-US" w:eastAsia="zh-CN"/>
        </w:rPr>
        <w:t>国务院决定取消的国务院部门行政许可事项目录”第5项第5列：“取消审批后，通过以下措施加强事中事后监管：1.……。2.</w:t>
      </w:r>
      <w:r>
        <w:rPr>
          <w:rFonts w:hint="eastAsia" w:ascii="仿宋_GB2312" w:hAnsi="仿宋_GB2312" w:cs="仿宋_GB2312"/>
          <w:sz w:val="32"/>
          <w:szCs w:val="32"/>
          <w:lang w:eastAsia="zh-CN"/>
        </w:rPr>
        <w:t>安全监管部门承担监管责任，对持证人员培训考核、监督管理。各级安全监管部门完善</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双随机、一公开</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抽查、责任追溯、违规行为查</w:t>
      </w:r>
      <w:bookmarkStart w:id="0" w:name="_GoBack"/>
      <w:bookmarkEnd w:id="0"/>
      <w:r>
        <w:rPr>
          <w:rFonts w:hint="eastAsia" w:ascii="仿宋_GB2312" w:hAnsi="仿宋_GB2312" w:cs="仿宋_GB2312"/>
          <w:sz w:val="32"/>
          <w:szCs w:val="32"/>
          <w:lang w:eastAsia="zh-CN"/>
        </w:rPr>
        <w:t>处、吊销证件等制度”。</w:t>
      </w:r>
    </w:p>
    <w:sectPr>
      <w:footerReference r:id="rId3" w:type="default"/>
      <w:pgSz w:w="11906" w:h="16838"/>
      <w:pgMar w:top="2098" w:right="1474" w:bottom="1984" w:left="1587" w:header="851" w:footer="1395" w:gutter="0"/>
      <w:paperSrc/>
      <w:pgNumType w:start="4"/>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inorEastAsia" w:hAnsiTheme="minorEastAsia" w:eastAsiaTheme="minorEastAsia" w:cstheme="minorEastAsia"/>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jc w:val="center"/>
                      <w:rPr>
                        <w:rFonts w:hint="eastAsia" w:asciiTheme="minorEastAsia" w:hAnsiTheme="minorEastAsia" w:eastAsiaTheme="minorEastAsia" w:cstheme="minorEastAsia"/>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9E7E85"/>
    <w:multiLevelType w:val="singleLevel"/>
    <w:tmpl w:val="CC9E7E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C5657"/>
    <w:rsid w:val="004D70A4"/>
    <w:rsid w:val="00547E0A"/>
    <w:rsid w:val="0186611A"/>
    <w:rsid w:val="01E31D0C"/>
    <w:rsid w:val="027548F3"/>
    <w:rsid w:val="02E47834"/>
    <w:rsid w:val="033B5206"/>
    <w:rsid w:val="036C3B62"/>
    <w:rsid w:val="04191779"/>
    <w:rsid w:val="044938B3"/>
    <w:rsid w:val="04ED1165"/>
    <w:rsid w:val="050F59D4"/>
    <w:rsid w:val="05423858"/>
    <w:rsid w:val="057341D7"/>
    <w:rsid w:val="06926D23"/>
    <w:rsid w:val="078C6C01"/>
    <w:rsid w:val="087658FC"/>
    <w:rsid w:val="08986B70"/>
    <w:rsid w:val="09276339"/>
    <w:rsid w:val="09421AA2"/>
    <w:rsid w:val="0A776FA2"/>
    <w:rsid w:val="0B0B198C"/>
    <w:rsid w:val="0CA30889"/>
    <w:rsid w:val="0CE437C6"/>
    <w:rsid w:val="0D180A75"/>
    <w:rsid w:val="0D23506C"/>
    <w:rsid w:val="0F0A422D"/>
    <w:rsid w:val="0F2C007C"/>
    <w:rsid w:val="103B7807"/>
    <w:rsid w:val="10A810D8"/>
    <w:rsid w:val="10B95B9A"/>
    <w:rsid w:val="11B97CD3"/>
    <w:rsid w:val="11D34401"/>
    <w:rsid w:val="11D85171"/>
    <w:rsid w:val="12110A99"/>
    <w:rsid w:val="12687E5C"/>
    <w:rsid w:val="13857810"/>
    <w:rsid w:val="13D027C1"/>
    <w:rsid w:val="13D47993"/>
    <w:rsid w:val="143A6834"/>
    <w:rsid w:val="15204722"/>
    <w:rsid w:val="16CB67BC"/>
    <w:rsid w:val="173043C7"/>
    <w:rsid w:val="17BB6563"/>
    <w:rsid w:val="180F68D3"/>
    <w:rsid w:val="186A3F20"/>
    <w:rsid w:val="19E04D37"/>
    <w:rsid w:val="1B817D91"/>
    <w:rsid w:val="1B864C88"/>
    <w:rsid w:val="1C136AE7"/>
    <w:rsid w:val="1D02123F"/>
    <w:rsid w:val="1D9A7150"/>
    <w:rsid w:val="1E9C1B7A"/>
    <w:rsid w:val="1F3238AE"/>
    <w:rsid w:val="1F787991"/>
    <w:rsid w:val="1FC03FC7"/>
    <w:rsid w:val="20265077"/>
    <w:rsid w:val="21051D15"/>
    <w:rsid w:val="22530673"/>
    <w:rsid w:val="226B5EF6"/>
    <w:rsid w:val="241C5F24"/>
    <w:rsid w:val="25846ED7"/>
    <w:rsid w:val="25DF415F"/>
    <w:rsid w:val="2638206E"/>
    <w:rsid w:val="272F218A"/>
    <w:rsid w:val="27A74E05"/>
    <w:rsid w:val="281E7A81"/>
    <w:rsid w:val="28A64835"/>
    <w:rsid w:val="28D30779"/>
    <w:rsid w:val="2A916D13"/>
    <w:rsid w:val="2B0E608F"/>
    <w:rsid w:val="2C1E1E3C"/>
    <w:rsid w:val="2C2B377F"/>
    <w:rsid w:val="2D737960"/>
    <w:rsid w:val="2DE4029B"/>
    <w:rsid w:val="2F520893"/>
    <w:rsid w:val="306B06F7"/>
    <w:rsid w:val="30A55B07"/>
    <w:rsid w:val="30D744A9"/>
    <w:rsid w:val="313A35FE"/>
    <w:rsid w:val="318303DF"/>
    <w:rsid w:val="319C5248"/>
    <w:rsid w:val="31D27283"/>
    <w:rsid w:val="33283B4E"/>
    <w:rsid w:val="349302CD"/>
    <w:rsid w:val="35282E6F"/>
    <w:rsid w:val="35523CE0"/>
    <w:rsid w:val="365A1752"/>
    <w:rsid w:val="36A02374"/>
    <w:rsid w:val="374D59B1"/>
    <w:rsid w:val="37524A9A"/>
    <w:rsid w:val="37EA537F"/>
    <w:rsid w:val="382D4C87"/>
    <w:rsid w:val="3919117B"/>
    <w:rsid w:val="392E229B"/>
    <w:rsid w:val="39631C07"/>
    <w:rsid w:val="39715D86"/>
    <w:rsid w:val="398B4F79"/>
    <w:rsid w:val="39C13C5F"/>
    <w:rsid w:val="39CF30F3"/>
    <w:rsid w:val="3A462DD1"/>
    <w:rsid w:val="3B3E756B"/>
    <w:rsid w:val="3B583FBC"/>
    <w:rsid w:val="3B6029C3"/>
    <w:rsid w:val="3BA210D2"/>
    <w:rsid w:val="3CA9294B"/>
    <w:rsid w:val="3CAD545B"/>
    <w:rsid w:val="3D53100D"/>
    <w:rsid w:val="3DA41CB4"/>
    <w:rsid w:val="3E425579"/>
    <w:rsid w:val="3E9F6477"/>
    <w:rsid w:val="3EA60B6F"/>
    <w:rsid w:val="3FC27B85"/>
    <w:rsid w:val="4066411F"/>
    <w:rsid w:val="42281B05"/>
    <w:rsid w:val="4287231D"/>
    <w:rsid w:val="43112C65"/>
    <w:rsid w:val="44000ACA"/>
    <w:rsid w:val="44F05AA0"/>
    <w:rsid w:val="457524C6"/>
    <w:rsid w:val="46B34DD4"/>
    <w:rsid w:val="46C75C56"/>
    <w:rsid w:val="472A2D70"/>
    <w:rsid w:val="476978EF"/>
    <w:rsid w:val="48714727"/>
    <w:rsid w:val="489B04A8"/>
    <w:rsid w:val="4AAC4E61"/>
    <w:rsid w:val="4ADC01F8"/>
    <w:rsid w:val="4B321DF5"/>
    <w:rsid w:val="4BC13DD6"/>
    <w:rsid w:val="4C782D2B"/>
    <w:rsid w:val="4C9C5657"/>
    <w:rsid w:val="4CBF3687"/>
    <w:rsid w:val="4CFC145A"/>
    <w:rsid w:val="4E5825E9"/>
    <w:rsid w:val="4ECE37D2"/>
    <w:rsid w:val="4F052D2A"/>
    <w:rsid w:val="4FD04D6D"/>
    <w:rsid w:val="508A2730"/>
    <w:rsid w:val="50A93A6F"/>
    <w:rsid w:val="50DB782C"/>
    <w:rsid w:val="5176773A"/>
    <w:rsid w:val="52C1522C"/>
    <w:rsid w:val="52F02983"/>
    <w:rsid w:val="54F21F4D"/>
    <w:rsid w:val="55B02768"/>
    <w:rsid w:val="561F4FF2"/>
    <w:rsid w:val="565C61E4"/>
    <w:rsid w:val="56D13449"/>
    <w:rsid w:val="57CF1A8D"/>
    <w:rsid w:val="57F349AA"/>
    <w:rsid w:val="5B895CDC"/>
    <w:rsid w:val="5BB42EB9"/>
    <w:rsid w:val="5CAD616C"/>
    <w:rsid w:val="5D5D0CF0"/>
    <w:rsid w:val="5DE82212"/>
    <w:rsid w:val="5DF32EB6"/>
    <w:rsid w:val="5E4C0B9E"/>
    <w:rsid w:val="5EAB50E6"/>
    <w:rsid w:val="5EBC0546"/>
    <w:rsid w:val="5FAC1F15"/>
    <w:rsid w:val="60B456E4"/>
    <w:rsid w:val="61123450"/>
    <w:rsid w:val="61650937"/>
    <w:rsid w:val="61936130"/>
    <w:rsid w:val="61B260AF"/>
    <w:rsid w:val="620E37D0"/>
    <w:rsid w:val="641A1EE1"/>
    <w:rsid w:val="645C5FFC"/>
    <w:rsid w:val="649A1024"/>
    <w:rsid w:val="64BE3BB7"/>
    <w:rsid w:val="64C8144D"/>
    <w:rsid w:val="64CD4BE0"/>
    <w:rsid w:val="64FD0A0D"/>
    <w:rsid w:val="65952755"/>
    <w:rsid w:val="65D20B7C"/>
    <w:rsid w:val="67226ABA"/>
    <w:rsid w:val="675E2DF9"/>
    <w:rsid w:val="683F6E97"/>
    <w:rsid w:val="68625467"/>
    <w:rsid w:val="68E42BD7"/>
    <w:rsid w:val="68EA5A5C"/>
    <w:rsid w:val="692F1081"/>
    <w:rsid w:val="69CF380D"/>
    <w:rsid w:val="6A760DC2"/>
    <w:rsid w:val="6A90267B"/>
    <w:rsid w:val="6AB17321"/>
    <w:rsid w:val="6BBF673B"/>
    <w:rsid w:val="6C712673"/>
    <w:rsid w:val="6C9A31C4"/>
    <w:rsid w:val="6D427489"/>
    <w:rsid w:val="6DB87367"/>
    <w:rsid w:val="6E615D28"/>
    <w:rsid w:val="6ED0391C"/>
    <w:rsid w:val="6F7F6EBB"/>
    <w:rsid w:val="70237C80"/>
    <w:rsid w:val="7199094D"/>
    <w:rsid w:val="71ED3F73"/>
    <w:rsid w:val="7251695B"/>
    <w:rsid w:val="72AE6DDB"/>
    <w:rsid w:val="73300709"/>
    <w:rsid w:val="73571BAF"/>
    <w:rsid w:val="735D7355"/>
    <w:rsid w:val="75AA48D2"/>
    <w:rsid w:val="770C10F3"/>
    <w:rsid w:val="775F3C78"/>
    <w:rsid w:val="778D531C"/>
    <w:rsid w:val="77B12F35"/>
    <w:rsid w:val="77D53D7C"/>
    <w:rsid w:val="77FC7AF1"/>
    <w:rsid w:val="78E609E9"/>
    <w:rsid w:val="799D2547"/>
    <w:rsid w:val="7ACE2733"/>
    <w:rsid w:val="7BB8738D"/>
    <w:rsid w:val="7BD42211"/>
    <w:rsid w:val="7C1129B0"/>
    <w:rsid w:val="7C4F3DCB"/>
    <w:rsid w:val="7DA9196A"/>
    <w:rsid w:val="7E450D50"/>
    <w:rsid w:val="7EB86594"/>
    <w:rsid w:val="7EE65181"/>
    <w:rsid w:val="7EE97B3D"/>
    <w:rsid w:val="7F712689"/>
    <w:rsid w:val="7F9A4ED3"/>
    <w:rsid w:val="7FD734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等线 Light" w:hAnsi="等线 Light" w:eastAsia="方正小标宋简体" w:cs="Times New Roman"/>
      <w:b/>
      <w:bCs/>
      <w:sz w:val="44"/>
      <w:szCs w:val="32"/>
    </w:rPr>
  </w:style>
  <w:style w:type="paragraph" w:customStyle="1" w:styleId="8">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2017-10-18T06:51:00Z</dcterms:created>
  <dc:creator>liaojuan</dc:creator>
  <cp:lastModifiedBy>liaojuan</cp:lastModifiedBy>
  <cp:lastPrinted>2018-06-28T09:02:48Z</cp:lastPrinted>
  <dcterms:modified xsi:type="dcterms:W3CDTF">2018-06-28T09:21:12Z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