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bookmarkStart w:id="0" w:name="_Hlk534787542"/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1</w:t>
      </w:r>
    </w:p>
    <w:p>
      <w:pPr>
        <w:spacing w:line="560" w:lineRule="exact"/>
        <w:jc w:val="left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煤矿瓦斯高效抽采利用和煤层气勘探开发</w:t>
      </w:r>
    </w:p>
    <w:p>
      <w:pPr>
        <w:spacing w:line="56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示范工作规则（试行）</w:t>
      </w:r>
    </w:p>
    <w:bookmarkEnd w:id="0"/>
    <w:p>
      <w:pPr>
        <w:spacing w:line="56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50" w:afterLines="50" w:line="560" w:lineRule="exact"/>
        <w:jc w:val="center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第一章  总  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第一条</w:t>
      </w: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为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有效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防范煤矿瓦斯事故，增加清洁能源供应，减少温室气体排放，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进一步提升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煤矿瓦斯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综合治理水平，加快煤层气资源规模化开发利用，根据“十四五”煤炭规划《煤层气（煤矿瓦斯）开发利用工作方案》，科学有序实施煤矿瓦斯高效抽采利用和煤层气勘探开发示范项目，按照《国家能源局技术示范和改革试点工作管理办法》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制定本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规则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第二条</w:t>
      </w: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本规则适用于国家能源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局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组织开展的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煤矿瓦斯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高效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抽采利用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和煤层气勘探开发技术示范工作。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第三条</w:t>
      </w: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范工作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以取得突破或基本成熟但尚未广泛推广的先进适用技术装备为重点，通过实施示范项目，加快科技成果转化和产业化推广，引领瓦斯综合利用商业模式创新，促进煤炭煤层气资源协调开发，带动煤层气（煤矿瓦斯）产业快速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第</w:t>
      </w: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条</w:t>
      </w:r>
      <w:r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示范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工作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坚持有效市场和有为政府相结合，突出企业科技创新主体地位，鼓励各类市场主体积极参与，工作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流程主要包括发布通知、组织申报、专家评审、审议决策、公示公告、项目实施、验收评价、总结推广等环节，对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示范项目实施动态管理，注重经验总结，强化监督指导，力求建设一个成功一个、成熟一个推广一个，确保示范工作取得实效。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第</w:t>
      </w: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条</w:t>
      </w: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示范项目包括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煤矿瓦斯高效抽采利用示范项目和煤层气勘探开发示范项目。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煤矿瓦斯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高效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抽采利用示范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项目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是指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应用复杂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地质条件下瓦斯高效抽采、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高中低全浓度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瓦斯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高效利用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先进技术工艺和成套装备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，有利于提升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原始煤层瓦斯抽采率、抽采瓦斯浓度及稳定性、抽采瓦斯利用率，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具备推广价值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煤层气勘探开发示范项目是指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资源赋存条件具有区域代表性，应用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新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技术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新工艺新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装备，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资源探明和产能建设效率较高，预期经济性较好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有利于煤炭煤层气资源综合协调开发，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具备推广价值的项目。</w:t>
      </w: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50" w:afterLines="50" w:line="560" w:lineRule="exact"/>
        <w:jc w:val="center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 xml:space="preserve">第二章  </w:t>
      </w: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示范项目申报和遴选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第</w:t>
      </w: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六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条</w:t>
      </w: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国家能源局根据产业政策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发展规划，发布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示范项目申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报通知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明确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有关具体要求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第</w:t>
      </w: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七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 xml:space="preserve">条 </w:t>
      </w: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示范项目申报单位原则上为项目业主，确需联合申报的，应说明必要性和具体分工。申报单位应为中华人民共和国境内注册的法人，拥有较强的技术经济实力和创新能力。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第</w:t>
      </w: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八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条</w:t>
      </w: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省级能源主管部门和有关中央企业是示范项目的汇总申报单位，组织开展本地区（企业）示范项目申报、初步审核、推荐等工作。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第</w:t>
      </w: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九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条</w:t>
      </w: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申报单位按照通知要求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编制示范项目申请报告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，通过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汇总申报单位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提交。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示范项目申请报告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应包括：项目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和业主单位概况、资源条件或应用场景、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示范内容及目标、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关键技术装备及供应商、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工程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建设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方案、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项目运行和经济性指标、预期示范效应、社会和环境效益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等内容。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申报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单位对申报材料的真实性负责，并作出真实性承诺。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第</w:t>
      </w: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十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条</w:t>
      </w:r>
      <w:r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示范项目应具备扎实的前期工作基础，确保示范工作有序开展。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原则上，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煤矿瓦斯抽采利用项目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工程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建设期不超过1年，煤层气勘探开发项目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工程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建设期不超过3年。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第</w:t>
      </w: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十一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条</w:t>
      </w: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国家能源局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组织专家或委托第三方机构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对示范项目进行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评审，视情组织申报单位答辩或实地考察。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受委托的专家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机构应与项目无经济利益关系，遵照科学、客观、公正的原则，独立开展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评审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、评价工作，并对结论负责。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第</w:t>
      </w: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十二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条</w:t>
      </w: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国家能源局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根据专家或第三方机构评审意见，结合产业政策、发展规划等要求，审核确定示范项目入围名单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第</w:t>
      </w: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十三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条</w:t>
      </w: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国家能源局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在门户网站对示范项目入围名单进行公示，公示期不少于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7天。公示结束后，国家能源局以公告形式发布示范项目清单，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并明确示范内容、目标和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有关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50" w:afterLines="50" w:line="560" w:lineRule="exact"/>
        <w:jc w:val="center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 xml:space="preserve">第三章  </w:t>
      </w: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示范项目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实施</w:t>
      </w: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和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第十</w:t>
      </w: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条</w:t>
      </w: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示范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公告不涉及项目审批，示范项目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按照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有关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规定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完成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项目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审批、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核准或备案，并取得相关部门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报建手续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后，方可开工建设。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第十</w:t>
      </w: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条</w:t>
      </w: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示范公告是项目实施和验收评价的依据，申报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单位应严格按照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示范公告有关要求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组织项目建设，不得擅自调整示范内容及目标。如需作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重大调整，可提出调整建议上报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汇总申报单位，汇总申报单位初审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后，报请国家能源局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同意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第十</w:t>
      </w: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六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条</w:t>
      </w: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项目所在地能源主管部门应积极协助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申报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单位落实好项目用地、环保、用水、电网接入等外部建设条件，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督促指导申报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单位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有序开展项目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第十</w:t>
      </w: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七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条</w:t>
      </w: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示范项目实行定期报告制度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，申报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单位应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于示范公告后每月通过汇总申报单位向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国家能源局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报告示范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进展情况。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第十八条</w:t>
      </w: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示范项目在建设过程中具有下列情形之一的，取消其示范资格。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（一）提供虚假资料的。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（二）擅自调整主要示范内容的。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（三）无正当理由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不能在示范期内完成项目建设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（四）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发生重大安全责任事故的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）其他违反国家法律法规和本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规则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规定的行为。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第十</w:t>
      </w: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九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条</w:t>
      </w: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示范项目建成并具备验收条件后，由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申报单位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向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汇总申报单位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提出验收申请，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汇总申报单位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进行初审后，向国家能源局提出验收申请。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第</w:t>
      </w: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二十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条</w:t>
      </w: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国家能源局组织专家或委托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第三方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机构，对示范项目进行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总结评价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，达到预定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示范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目标和要求的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验收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合格，在此基础上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凝练总结可推广应用的先进技术、标准规范、管理经验、商业模式等示范成果。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第</w:t>
      </w: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二十一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条</w:t>
      </w: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国家能源局公告推荐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通过验收的示范项目，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加强示范成果的总结宣传和推广应用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50" w:afterLines="50" w:line="560" w:lineRule="exact"/>
        <w:jc w:val="center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第</w:t>
      </w:r>
      <w:r>
        <w:rPr>
          <w:rFonts w:hint="eastAsia" w:ascii="Times New Roman" w:hAnsi="Times New Roman" w:eastAsia="方正黑体_GBK" w:cs="Times New Roman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章  附  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第二十二条</w:t>
      </w: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本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规则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由国家能源局负责解释。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</w:pPr>
      <w:r>
        <w:rPr>
          <w:rFonts w:hint="default" w:ascii="Times New Roman" w:hAnsi="Times New Roman" w:eastAsia="方正黑体_GBK" w:cs="Times New Roman"/>
          <w:sz w:val="32"/>
          <w:szCs w:val="32"/>
        </w:rPr>
        <w:t>第二十三条</w:t>
      </w: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本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规则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自发布之日起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施行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，有效期至2025年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12月31日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iMjJhZmEyZDZmNTE1NTZkMjBmOTY0MjNmNmQyZjkifQ=="/>
  </w:docVars>
  <w:rsids>
    <w:rsidRoot w:val="00000000"/>
    <w:rsid w:val="3ADD2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2023-07-13T07:11:33Z</dcterms:created>
  <dc:creator>goveditor</dc:creator>
  <cp:lastModifiedBy>goveditor</cp:lastModifiedBy>
  <dcterms:modified xsi:type="dcterms:W3CDTF">2023-07-13T07:12:06Z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E10DAA03F7D4403E8028736326DB026F_12</vt:lpwstr>
  </property>
</Properties>
</file>