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atLeast"/>
        <w:rPr>
          <w:rFonts w:ascii="黑体" w:hAnsi="华文中宋" w:eastAsia="黑体" w:cs="华文中宋"/>
          <w:color w:val="000000" w:themeColor="text1"/>
          <w:sz w:val="32"/>
          <w:szCs w:val="32"/>
          <w14:textFill>
            <w14:solidFill>
              <w14:schemeClr w14:val="tx1"/>
            </w14:solidFill>
          </w14:textFill>
        </w:rPr>
      </w:pPr>
    </w:p>
    <w:p>
      <w:pPr>
        <w:widowControl w:val="0"/>
        <w:spacing w:before="0" w:after="312" w:afterLines="100"/>
        <w:jc w:val="both"/>
        <w:outlineLvl w:val="9"/>
        <w:rPr>
          <w:rFonts w:ascii="黑体" w:hAnsi="黑体" w:eastAsia="黑体" w:cs="黑体"/>
          <w:b w:val="0"/>
          <w:bCs/>
          <w:kern w:val="0"/>
          <w:sz w:val="32"/>
          <w:szCs w:val="32"/>
          <w:lang w:val="en-US" w:eastAsia="zh-CN" w:bidi="ar-SA"/>
        </w:rPr>
      </w:pPr>
    </w:p>
    <w:p>
      <w:pPr>
        <w:rPr>
          <w:rFonts w:ascii="Calibri" w:hAnsi="Calibri" w:eastAsia="宋体" w:cs="Times New Roman"/>
        </w:rPr>
      </w:pPr>
    </w:p>
    <w:p>
      <w:pPr>
        <w:widowControl w:val="0"/>
        <w:spacing w:before="360" w:after="0" w:line="586" w:lineRule="exact"/>
        <w:jc w:val="center"/>
        <w:outlineLvl w:val="9"/>
        <w:rPr>
          <w:rFonts w:ascii="方正小标宋简体" w:hAnsi="方正小标宋简体" w:eastAsia="方正小标宋简体" w:cs="方正小标宋简体"/>
          <w:b w:val="0"/>
          <w:bCs/>
          <w:kern w:val="0"/>
          <w:sz w:val="40"/>
          <w:szCs w:val="40"/>
          <w:lang w:val="zh-CN" w:eastAsia="zh-CN" w:bidi="ar-SA"/>
        </w:rPr>
      </w:pPr>
      <w:r>
        <w:rPr>
          <w:rFonts w:hint="eastAsia" w:ascii="方正小标宋简体" w:hAnsi="方正小标宋简体" w:eastAsia="方正小标宋简体" w:cs="方正小标宋简体"/>
          <w:b w:val="0"/>
          <w:bCs/>
          <w:kern w:val="0"/>
          <w:sz w:val="40"/>
          <w:szCs w:val="40"/>
          <w:lang w:val="zh-CN" w:eastAsia="zh-CN" w:bidi="ar-SA"/>
        </w:rPr>
        <w:t>核电厂消防验收</w:t>
      </w:r>
      <w:bookmarkStart w:id="0" w:name="_Toc514255769"/>
      <w:r>
        <w:rPr>
          <w:rFonts w:hint="eastAsia" w:ascii="方正小标宋简体" w:hAnsi="方正小标宋简体" w:eastAsia="方正小标宋简体" w:cs="方正小标宋简体"/>
          <w:b w:val="0"/>
          <w:bCs/>
          <w:kern w:val="0"/>
          <w:sz w:val="40"/>
          <w:szCs w:val="40"/>
          <w:lang w:val="zh-CN" w:eastAsia="zh-CN" w:bidi="ar-SA"/>
        </w:rPr>
        <w:t>评审实施细则</w:t>
      </w:r>
    </w:p>
    <w:p>
      <w:pPr>
        <w:widowControl w:val="0"/>
        <w:spacing w:before="156" w:beforeLines="50" w:after="156" w:afterLines="50" w:line="586" w:lineRule="exact"/>
        <w:jc w:val="center"/>
        <w:outlineLvl w:val="0"/>
        <w:rPr>
          <w:rFonts w:hint="eastAsia" w:ascii="Times New Roman" w:hAnsi="Times New Roman" w:eastAsia="黑体" w:cs="Times New Roman"/>
          <w:b w:val="0"/>
          <w:bCs w:val="0"/>
          <w:kern w:val="2"/>
          <w:sz w:val="32"/>
          <w:szCs w:val="32"/>
          <w:lang w:val="en-US" w:eastAsia="zh-CN" w:bidi="ar-SA"/>
        </w:rPr>
      </w:pPr>
    </w:p>
    <w:p>
      <w:pPr>
        <w:widowControl w:val="0"/>
        <w:spacing w:before="156" w:beforeLines="50" w:after="156" w:afterLines="50" w:line="586" w:lineRule="exact"/>
        <w:jc w:val="center"/>
        <w:outlineLvl w:val="0"/>
        <w:rPr>
          <w:rFonts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CN" w:bidi="ar-SA"/>
        </w:rPr>
        <w:t>第一章</w:t>
      </w:r>
      <w:r>
        <w:rPr>
          <w:rFonts w:ascii="Times New Roman" w:hAnsi="Times New Roman" w:eastAsia="黑体" w:cs="Times New Roman"/>
          <w:b w:val="0"/>
          <w:bCs w:val="0"/>
          <w:kern w:val="2"/>
          <w:sz w:val="32"/>
          <w:szCs w:val="32"/>
          <w:lang w:val="en-US" w:eastAsia="zh-CN" w:bidi="ar-SA"/>
        </w:rPr>
        <w:t xml:space="preserve"> </w:t>
      </w:r>
      <w:r>
        <w:rPr>
          <w:rFonts w:hint="eastAsia" w:ascii="Times New Roman" w:hAnsi="Times New Roman" w:eastAsia="黑体" w:cs="Times New Roman"/>
          <w:b w:val="0"/>
          <w:bCs w:val="0"/>
          <w:kern w:val="2"/>
          <w:sz w:val="32"/>
          <w:szCs w:val="32"/>
          <w:lang w:val="en-US" w:eastAsia="zh-CN" w:bidi="ar-SA"/>
        </w:rPr>
        <w:t>总则</w:t>
      </w:r>
      <w:bookmarkEnd w:id="0"/>
    </w:p>
    <w:p>
      <w:pPr>
        <w:adjustRightInd w:val="0"/>
        <w:snapToGrid w:val="0"/>
        <w:spacing w:line="586"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第一条</w:t>
      </w:r>
      <w:r>
        <w:rPr>
          <w:rFonts w:ascii="Times New Roman" w:hAnsi="Times New Roman" w:eastAsia="方正黑体_GBK" w:cs="Times New Roman"/>
          <w:sz w:val="32"/>
          <w:szCs w:val="32"/>
        </w:rPr>
        <w:t xml:space="preserve"> </w:t>
      </w:r>
      <w:r>
        <w:rPr>
          <w:rFonts w:hint="eastAsia" w:ascii="Times New Roman" w:hAnsi="Times New Roman" w:eastAsia="仿宋_GB2312" w:cs="Times New Roman"/>
          <w:bCs/>
          <w:sz w:val="32"/>
          <w:szCs w:val="32"/>
        </w:rPr>
        <w:t>为规范核电厂消防验收工作，保证消防验收工作的科学性、公正性和规范性，根据《中华人民共和国消防法》《核电厂消防安全监督管理暂</w:t>
      </w:r>
      <w:bookmarkStart w:id="3" w:name="_GoBack"/>
      <w:bookmarkEnd w:id="3"/>
      <w:r>
        <w:rPr>
          <w:rFonts w:hint="eastAsia" w:ascii="Times New Roman" w:hAnsi="Times New Roman" w:eastAsia="仿宋_GB2312" w:cs="Times New Roman"/>
          <w:bCs/>
          <w:sz w:val="32"/>
          <w:szCs w:val="32"/>
        </w:rPr>
        <w:t>行规定》</w:t>
      </w:r>
      <w:r>
        <w:rPr>
          <w:rFonts w:hint="default" w:ascii="Times New Roman" w:hAnsi="Times New Roman" w:eastAsia="仿宋_GB2312" w:cs="Times New Roman"/>
          <w:sz w:val="32"/>
          <w:szCs w:val="36"/>
        </w:rPr>
        <w:t>（国能核电〔201</w:t>
      </w:r>
      <w:r>
        <w:rPr>
          <w:rFonts w:hint="eastAsia" w:ascii="Times New Roman" w:hAnsi="Times New Roman" w:eastAsia="仿宋_GB2312" w:cs="Times New Roman"/>
          <w:sz w:val="32"/>
          <w:szCs w:val="36"/>
          <w:lang w:val="en-US" w:eastAsia="zh-CN"/>
        </w:rPr>
        <w:t>5</w:t>
      </w:r>
      <w:r>
        <w:rPr>
          <w:rFonts w:hint="default" w:ascii="Times New Roman" w:hAnsi="Times New Roman" w:eastAsia="仿宋_GB2312" w:cs="Times New Roman"/>
          <w:sz w:val="32"/>
          <w:szCs w:val="36"/>
        </w:rPr>
        <w:t>〕</w:t>
      </w:r>
      <w:r>
        <w:rPr>
          <w:rFonts w:hint="eastAsia" w:ascii="Times New Roman" w:hAnsi="Times New Roman" w:eastAsia="仿宋_GB2312" w:cs="Times New Roman"/>
          <w:sz w:val="32"/>
          <w:szCs w:val="36"/>
          <w:lang w:val="en-US" w:eastAsia="zh-CN"/>
        </w:rPr>
        <w:t>415</w:t>
      </w:r>
      <w:r>
        <w:rPr>
          <w:rFonts w:hint="default" w:ascii="Times New Roman" w:hAnsi="Times New Roman" w:eastAsia="仿宋_GB2312" w:cs="Times New Roman"/>
          <w:sz w:val="32"/>
          <w:szCs w:val="36"/>
        </w:rPr>
        <w:t>号</w:t>
      </w:r>
      <w:r>
        <w:rPr>
          <w:rFonts w:hint="eastAsia" w:ascii="Times New Roman" w:hAnsi="Times New Roman" w:eastAsia="仿宋_GB2312" w:cs="Times New Roman"/>
          <w:sz w:val="32"/>
          <w:szCs w:val="36"/>
          <w:lang w:eastAsia="zh-CN"/>
        </w:rPr>
        <w:t>）</w:t>
      </w:r>
      <w:r>
        <w:rPr>
          <w:rFonts w:hint="eastAsia" w:ascii="Times New Roman" w:hAnsi="Times New Roman" w:eastAsia="仿宋_GB2312" w:cs="Times New Roman"/>
          <w:bCs/>
          <w:sz w:val="32"/>
          <w:szCs w:val="32"/>
        </w:rPr>
        <w:t>《国家能源局关于进一步规范核电厂消防设计和验收审批有关工作的通知》</w:t>
      </w:r>
      <w:r>
        <w:rPr>
          <w:rFonts w:hint="default" w:ascii="Times New Roman" w:hAnsi="Times New Roman" w:eastAsia="仿宋_GB2312" w:cs="Times New Roman"/>
          <w:sz w:val="32"/>
          <w:szCs w:val="36"/>
        </w:rPr>
        <w:t>（国能发核电〔2019〕84号</w:t>
      </w:r>
      <w:r>
        <w:rPr>
          <w:rFonts w:hint="eastAsia" w:ascii="Times New Roman" w:hAnsi="Times New Roman" w:eastAsia="仿宋_GB2312" w:cs="Times New Roman"/>
          <w:sz w:val="32"/>
          <w:szCs w:val="36"/>
          <w:lang w:eastAsia="zh-CN"/>
        </w:rPr>
        <w:t>）</w:t>
      </w:r>
      <w:r>
        <w:rPr>
          <w:rFonts w:hint="eastAsia" w:ascii="Times New Roman" w:hAnsi="Times New Roman" w:eastAsia="仿宋_GB2312" w:cs="Times New Roman"/>
          <w:bCs/>
          <w:sz w:val="32"/>
          <w:szCs w:val="32"/>
        </w:rPr>
        <w:t>等相关规定，制定本细则。</w:t>
      </w:r>
    </w:p>
    <w:p>
      <w:pPr>
        <w:adjustRightInd w:val="0"/>
        <w:snapToGrid w:val="0"/>
        <w:spacing w:line="586"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第二条</w:t>
      </w:r>
      <w:r>
        <w:rPr>
          <w:rFonts w:ascii="Times New Roman" w:hAnsi="Times New Roman" w:eastAsia="黑体" w:cs="Times New Roman"/>
          <w:sz w:val="32"/>
          <w:szCs w:val="32"/>
        </w:rPr>
        <w:t xml:space="preserve"> </w:t>
      </w:r>
      <w:r>
        <w:rPr>
          <w:rFonts w:hint="eastAsia" w:ascii="Times New Roman" w:hAnsi="Times New Roman" w:eastAsia="仿宋_GB2312" w:cs="Times New Roman"/>
          <w:bCs/>
          <w:sz w:val="32"/>
          <w:szCs w:val="32"/>
        </w:rPr>
        <w:t>核电厂消防验收评审范围包括核岛工程、常规岛工程和核电厂控制区单围墙内的所有辅助厂房与配套设施，以及消防站和应急指挥中心。</w:t>
      </w:r>
    </w:p>
    <w:p>
      <w:pPr>
        <w:adjustRightInd w:val="0"/>
        <w:snapToGrid w:val="0"/>
        <w:spacing w:line="586"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第三条</w:t>
      </w:r>
      <w:r>
        <w:rPr>
          <w:rFonts w:ascii="Times New Roman" w:hAnsi="Times New Roman" w:eastAsia="方正黑体_GBK" w:cs="Times New Roman"/>
          <w:sz w:val="32"/>
          <w:szCs w:val="32"/>
        </w:rPr>
        <w:t xml:space="preserve"> </w:t>
      </w:r>
      <w:r>
        <w:rPr>
          <w:rFonts w:hint="eastAsia" w:ascii="Times New Roman" w:hAnsi="Times New Roman" w:eastAsia="仿宋_GB2312" w:cs="Times New Roman"/>
          <w:sz w:val="32"/>
          <w:szCs w:val="32"/>
          <w:lang w:eastAsia="zh-CN"/>
        </w:rPr>
        <w:t>核电厂控股企业集团负责督促、检查和指导核电厂消防验收评审工作，向国家能源局申请消防验收。</w:t>
      </w:r>
      <w:r>
        <w:rPr>
          <w:rFonts w:hint="eastAsia" w:ascii="Times New Roman" w:hAnsi="Times New Roman" w:eastAsia="仿宋_GB2312" w:cs="Times New Roman"/>
          <w:sz w:val="32"/>
          <w:szCs w:val="32"/>
        </w:rPr>
        <w:t>核电厂营运单位负责组织核电厂</w:t>
      </w:r>
      <w:r>
        <w:rPr>
          <w:rFonts w:hint="eastAsia" w:ascii="Times New Roman" w:hAnsi="Times New Roman" w:eastAsia="仿宋_GB2312" w:cs="Times New Roman"/>
          <w:sz w:val="32"/>
          <w:szCs w:val="32"/>
          <w:lang w:eastAsia="zh-CN"/>
        </w:rPr>
        <w:t>消防</w:t>
      </w:r>
      <w:r>
        <w:rPr>
          <w:rFonts w:hint="eastAsia" w:ascii="Times New Roman" w:hAnsi="Times New Roman" w:eastAsia="仿宋_GB2312" w:cs="Times New Roman"/>
          <w:sz w:val="32"/>
          <w:szCs w:val="32"/>
        </w:rPr>
        <w:t>验收评审工作并承担全面责任，应当</w:t>
      </w:r>
      <w:r>
        <w:rPr>
          <w:rFonts w:hint="eastAsia" w:ascii="Times New Roman" w:hAnsi="Times New Roman" w:eastAsia="仿宋_GB2312" w:cs="Times New Roman"/>
          <w:sz w:val="32"/>
          <w:szCs w:val="32"/>
          <w:lang w:eastAsia="zh-CN"/>
        </w:rPr>
        <w:t>依法</w:t>
      </w:r>
      <w:r>
        <w:rPr>
          <w:rFonts w:hint="eastAsia" w:ascii="Times New Roman" w:hAnsi="Times New Roman" w:eastAsia="仿宋_GB2312" w:cs="Times New Roman"/>
          <w:sz w:val="32"/>
          <w:szCs w:val="32"/>
        </w:rPr>
        <w:t>自主、规范、择优选择符合条件的专业机构</w:t>
      </w:r>
      <w:r>
        <w:rPr>
          <w:rFonts w:hint="eastAsia" w:ascii="Times New Roman" w:hAnsi="Times New Roman" w:eastAsia="仿宋_GB2312" w:cs="Times New Roman"/>
          <w:sz w:val="32"/>
          <w:szCs w:val="32"/>
          <w:lang w:eastAsia="zh-CN"/>
        </w:rPr>
        <w:t>，承担核电厂消防验收评审工作。</w:t>
      </w:r>
      <w:r>
        <w:rPr>
          <w:rFonts w:hint="eastAsia" w:ascii="Times New Roman" w:hAnsi="Times New Roman" w:eastAsia="仿宋_GB2312" w:cs="Times New Roman"/>
          <w:sz w:val="32"/>
          <w:szCs w:val="32"/>
        </w:rPr>
        <w:t>专业机构应当依法依规开展评审工作，独立提交评审报告，并对评审结论承担相应的法律责任。</w:t>
      </w:r>
    </w:p>
    <w:p>
      <w:pPr>
        <w:adjustRightInd w:val="0"/>
        <w:snapToGrid w:val="0"/>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第四条</w:t>
      </w:r>
      <w:r>
        <w:rPr>
          <w:rFonts w:ascii="Times New Roman" w:hAnsi="Times New Roman" w:eastAsia="方正黑体_GBK" w:cs="Times New Roman"/>
          <w:sz w:val="32"/>
          <w:szCs w:val="32"/>
        </w:rPr>
        <w:t xml:space="preserve"> </w:t>
      </w:r>
      <w:r>
        <w:rPr>
          <w:rFonts w:hint="eastAsia" w:ascii="Times New Roman" w:hAnsi="Times New Roman" w:eastAsia="仿宋_GB2312" w:cs="Times New Roman"/>
          <w:bCs/>
          <w:sz w:val="32"/>
          <w:szCs w:val="32"/>
        </w:rPr>
        <w:t>核电厂消防验收评审主要依据国家有关法律法规和消防技术规范标准，经批准的核电厂消防初步设计文件、</w:t>
      </w:r>
      <w:r>
        <w:rPr>
          <w:rFonts w:hint="eastAsia" w:ascii="Times New Roman" w:hAnsi="Times New Roman" w:eastAsia="仿宋_GB2312" w:cs="Times New Roman"/>
          <w:bCs/>
          <w:color w:val="000000"/>
          <w:sz w:val="32"/>
          <w:szCs w:val="32"/>
        </w:rPr>
        <w:t>安全分析报告中防火部分（含火灾危害性分析报告），</w:t>
      </w:r>
      <w:r>
        <w:rPr>
          <w:rFonts w:hint="eastAsia" w:ascii="Times New Roman" w:hAnsi="Times New Roman" w:eastAsia="仿宋_GB2312" w:cs="Times New Roman"/>
          <w:bCs/>
          <w:sz w:val="32"/>
          <w:szCs w:val="32"/>
          <w:lang w:eastAsia="zh-CN"/>
        </w:rPr>
        <w:t>和</w:t>
      </w:r>
      <w:r>
        <w:rPr>
          <w:rFonts w:hint="eastAsia" w:ascii="Times New Roman" w:hAnsi="Times New Roman" w:eastAsia="仿宋_GB2312" w:cs="Times New Roman"/>
          <w:bCs/>
          <w:color w:val="000000"/>
          <w:sz w:val="32"/>
          <w:szCs w:val="32"/>
        </w:rPr>
        <w:t>经审查的</w:t>
      </w:r>
      <w:r>
        <w:rPr>
          <w:rFonts w:hint="eastAsia" w:ascii="Times New Roman" w:hAnsi="Times New Roman" w:eastAsia="仿宋_GB2312" w:cs="Times New Roman"/>
          <w:bCs/>
          <w:sz w:val="32"/>
          <w:szCs w:val="32"/>
        </w:rPr>
        <w:t>消防设计变更、</w:t>
      </w:r>
      <w:r>
        <w:rPr>
          <w:rFonts w:hint="eastAsia" w:ascii="Times New Roman" w:hAnsi="Times New Roman" w:eastAsia="仿宋_GB2312" w:cs="Times New Roman"/>
          <w:bCs/>
          <w:color w:val="000000"/>
          <w:sz w:val="32"/>
          <w:szCs w:val="32"/>
        </w:rPr>
        <w:t>施工图设计文件</w:t>
      </w:r>
      <w:r>
        <w:rPr>
          <w:rFonts w:hint="eastAsia" w:ascii="Times New Roman" w:hAnsi="Times New Roman" w:eastAsia="仿宋_GB2312" w:cs="Times New Roman"/>
          <w:bCs/>
          <w:sz w:val="32"/>
          <w:szCs w:val="32"/>
        </w:rPr>
        <w:t>等。</w:t>
      </w:r>
    </w:p>
    <w:p>
      <w:pPr>
        <w:adjustRightInd w:val="0"/>
        <w:snapToGrid w:val="0"/>
        <w:spacing w:line="586"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bCs/>
          <w:sz w:val="32"/>
          <w:szCs w:val="32"/>
        </w:rPr>
        <w:t>专业机构应当组建项目评审专家组，</w:t>
      </w:r>
      <w:r>
        <w:rPr>
          <w:rFonts w:hint="eastAsia" w:ascii="Times New Roman" w:hAnsi="Times New Roman" w:eastAsia="仿宋_GB2312" w:cs="Times New Roman"/>
          <w:sz w:val="32"/>
          <w:szCs w:val="32"/>
        </w:rPr>
        <w:t>由</w:t>
      </w:r>
      <w:r>
        <w:rPr>
          <w:rFonts w:hint="eastAsia" w:ascii="Times New Roman" w:hAnsi="Times New Roman" w:eastAsia="仿宋_GB2312" w:cs="Times New Roman"/>
          <w:bCs/>
          <w:sz w:val="32"/>
          <w:szCs w:val="32"/>
        </w:rPr>
        <w:t>总体（含建筑防火）、给水排水、电气仪控、供热通风、消防管理</w:t>
      </w:r>
      <w:r>
        <w:rPr>
          <w:rFonts w:hint="eastAsia" w:ascii="Times New Roman" w:hAnsi="Times New Roman" w:eastAsia="仿宋_GB2312" w:cs="Times New Roman"/>
          <w:sz w:val="32"/>
          <w:szCs w:val="32"/>
        </w:rPr>
        <w:t>等专业人员组成，每个专业一般不少于</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人</w:t>
      </w:r>
      <w:r>
        <w:rPr>
          <w:rFonts w:hint="eastAsia" w:ascii="Times New Roman" w:hAnsi="Times New Roman" w:eastAsia="仿宋_GB2312" w:cs="Times New Roman"/>
          <w:sz w:val="32"/>
          <w:szCs w:val="32"/>
        </w:rPr>
        <w:t>，相关人员应当具有高级专业技术职称。专家组成员应当以专业机构本单位人员为主，外部专家数量比例不得超过</w:t>
      </w:r>
      <w:r>
        <w:rPr>
          <w:rFonts w:ascii="Times New Roman" w:hAnsi="Times New Roman" w:eastAsia="仿宋_GB2312" w:cs="Times New Roman"/>
          <w:sz w:val="32"/>
          <w:szCs w:val="32"/>
        </w:rPr>
        <w:t>40%</w:t>
      </w:r>
      <w:r>
        <w:rPr>
          <w:rFonts w:hint="eastAsia" w:ascii="Times New Roman" w:hAnsi="Times New Roman" w:eastAsia="仿宋_GB2312" w:cs="Times New Roman"/>
          <w:sz w:val="32"/>
          <w:szCs w:val="32"/>
        </w:rPr>
        <w:t>，</w:t>
      </w:r>
      <w:r>
        <w:rPr>
          <w:rFonts w:hint="eastAsia" w:ascii="Times New Roman" w:hAnsi="Times New Roman" w:eastAsia="仿宋_GB2312" w:cs="Times New Roman"/>
          <w:bCs/>
          <w:sz w:val="32"/>
          <w:szCs w:val="32"/>
        </w:rPr>
        <w:t>被评审工程的本单位及其上级管理单位人员不能作为专家参加评审工作。</w:t>
      </w:r>
    </w:p>
    <w:p>
      <w:pPr>
        <w:widowControl w:val="0"/>
        <w:adjustRightInd w:val="0"/>
        <w:snapToGrid w:val="0"/>
        <w:spacing w:before="156" w:beforeLines="50" w:after="156" w:afterLines="50" w:line="586" w:lineRule="exact"/>
        <w:ind w:firstLine="640" w:firstLineChars="200"/>
        <w:jc w:val="center"/>
        <w:outlineLvl w:val="0"/>
        <w:rPr>
          <w:rFonts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CN" w:bidi="ar-SA"/>
        </w:rPr>
        <w:t>第二章</w:t>
      </w:r>
      <w:r>
        <w:rPr>
          <w:rFonts w:ascii="Times New Roman" w:hAnsi="Times New Roman" w:eastAsia="黑体" w:cs="Times New Roman"/>
          <w:b w:val="0"/>
          <w:bCs w:val="0"/>
          <w:kern w:val="2"/>
          <w:sz w:val="32"/>
          <w:szCs w:val="32"/>
          <w:lang w:val="en-US" w:eastAsia="zh-CN" w:bidi="ar-SA"/>
        </w:rPr>
        <w:t xml:space="preserve"> </w:t>
      </w:r>
      <w:r>
        <w:rPr>
          <w:rFonts w:hint="eastAsia" w:ascii="Times New Roman" w:hAnsi="Times New Roman" w:eastAsia="黑体" w:cs="Times New Roman"/>
          <w:b w:val="0"/>
          <w:bCs w:val="0"/>
          <w:kern w:val="2"/>
          <w:sz w:val="32"/>
          <w:szCs w:val="32"/>
          <w:lang w:val="en-US" w:eastAsia="zh-CN" w:bidi="ar-SA"/>
        </w:rPr>
        <w:t>专业机构全过程参与</w:t>
      </w:r>
    </w:p>
    <w:p>
      <w:pPr>
        <w:adjustRightInd w:val="0"/>
        <w:snapToGrid w:val="0"/>
        <w:spacing w:line="58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第六条</w:t>
      </w:r>
      <w:r>
        <w:rPr>
          <w:rFonts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专业</w:t>
      </w:r>
      <w:r>
        <w:rPr>
          <w:rFonts w:ascii="Times New Roman" w:hAnsi="Times New Roman" w:eastAsia="仿宋_GB2312" w:cs="Times New Roman"/>
          <w:sz w:val="32"/>
          <w:szCs w:val="32"/>
        </w:rPr>
        <w:t>机构应将评审工作贯穿到核电厂消防工程的设计、建设、验收全过程，提高评审工作深度、质量</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效率。</w:t>
      </w:r>
      <w:r>
        <w:rPr>
          <w:rFonts w:hint="eastAsia" w:ascii="Times New Roman" w:hAnsi="Times New Roman" w:eastAsia="仿宋_GB2312" w:cs="Times New Roman"/>
          <w:bCs/>
          <w:sz w:val="32"/>
          <w:szCs w:val="32"/>
          <w:lang w:eastAsia="zh-CN"/>
        </w:rPr>
        <w:t>要</w:t>
      </w:r>
      <w:r>
        <w:rPr>
          <w:rFonts w:hint="eastAsia" w:ascii="Times New Roman" w:hAnsi="Times New Roman" w:eastAsia="仿宋_GB2312" w:cs="Times New Roman"/>
          <w:bCs/>
          <w:sz w:val="32"/>
          <w:szCs w:val="32"/>
        </w:rPr>
        <w:t>制定全过程参与工作计划，明确具体工作内容和时间节点，在核电项目主体工程开工后3个月</w:t>
      </w:r>
      <w:r>
        <w:rPr>
          <w:rFonts w:ascii="Times New Roman" w:hAnsi="Times New Roman" w:eastAsia="仿宋_GB2312" w:cs="Times New Roman"/>
          <w:bCs/>
          <w:sz w:val="32"/>
          <w:szCs w:val="32"/>
        </w:rPr>
        <w:t>内</w:t>
      </w:r>
      <w:r>
        <w:rPr>
          <w:rFonts w:hint="eastAsia" w:ascii="Times New Roman" w:hAnsi="Times New Roman" w:eastAsia="仿宋_GB2312" w:cs="Times New Roman"/>
          <w:bCs/>
          <w:sz w:val="32"/>
          <w:szCs w:val="32"/>
        </w:rPr>
        <w:t>报核电厂营运单位。核电厂营运单位应当为专业机构开展工作提供便利条件。</w:t>
      </w:r>
    </w:p>
    <w:p>
      <w:pPr>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第七条</w:t>
      </w:r>
      <w:r>
        <w:rPr>
          <w:rFonts w:ascii="Times New Roman" w:hAnsi="Times New Roman" w:eastAsia="黑体" w:cs="Times New Roman"/>
          <w:sz w:val="32"/>
          <w:szCs w:val="32"/>
        </w:rPr>
        <w:t xml:space="preserve"> </w:t>
      </w:r>
      <w:r>
        <w:rPr>
          <w:rFonts w:hint="eastAsia" w:ascii="Times New Roman" w:hAnsi="Times New Roman" w:eastAsia="仿宋_GB2312" w:cs="Times New Roman"/>
          <w:sz w:val="32"/>
          <w:szCs w:val="32"/>
          <w:lang w:eastAsia="zh-CN"/>
        </w:rPr>
        <w:t>专业机构负责审查核电厂消防施工图设计和消防设计变更。</w:t>
      </w:r>
      <w:r>
        <w:rPr>
          <w:rFonts w:hint="eastAsia" w:ascii="Times New Roman" w:hAnsi="Times New Roman" w:eastAsia="仿宋_GB2312" w:cs="Times New Roman"/>
          <w:sz w:val="32"/>
          <w:szCs w:val="32"/>
        </w:rPr>
        <w:t>在消防单项</w:t>
      </w:r>
      <w:r>
        <w:rPr>
          <w:rFonts w:ascii="Times New Roman" w:hAnsi="Times New Roman" w:eastAsia="仿宋_GB2312" w:cs="Times New Roman"/>
          <w:sz w:val="32"/>
          <w:szCs w:val="32"/>
        </w:rPr>
        <w:t>工程</w:t>
      </w:r>
      <w:r>
        <w:rPr>
          <w:rFonts w:hint="eastAsia" w:ascii="Times New Roman" w:hAnsi="Times New Roman" w:eastAsia="仿宋_GB2312" w:cs="Times New Roman"/>
          <w:sz w:val="32"/>
          <w:szCs w:val="32"/>
        </w:rPr>
        <w:t>施工前，应当完成该单项工程施工图设计审查</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rPr>
        <w:t>。</w:t>
      </w:r>
    </w:p>
    <w:p>
      <w:pPr>
        <w:adjustRightInd w:val="0"/>
        <w:snapToGrid w:val="0"/>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第八条</w:t>
      </w:r>
      <w:r>
        <w:rPr>
          <w:rFonts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专业机构应当对核电厂消防设备安装活动进行现场抽查和见证。主要包括：</w:t>
      </w:r>
    </w:p>
    <w:p>
      <w:pPr>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（一）消防设施设备集中安装的区域，如消防控制室、消防泵房、消防系统阀门间、气体灭火系统气瓶间、排烟机房、加压送风机房等；</w:t>
      </w:r>
    </w:p>
    <w:p>
      <w:pPr>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（二）核岛厂房辐射控制区等机组运行期间不能进入的区域，如反应堆冷却剂泵区域等；</w:t>
      </w:r>
    </w:p>
    <w:p>
      <w:pPr>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（三）验收时通过常规方法无法判定是否满足消防功能的隐蔽工程，如吊顶内的喷头和火灾探测器，主控室架空地板下的电缆防火措施和火灾探测器等。</w:t>
      </w:r>
    </w:p>
    <w:p>
      <w:pPr>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第九条</w:t>
      </w:r>
      <w:r>
        <w:rPr>
          <w:rFonts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专业机构应当对核电厂消防系统重要试验进行现场抽查和见证。主要包括：</w:t>
      </w:r>
    </w:p>
    <w:p>
      <w:pPr>
        <w:adjustRightInd w:val="0"/>
        <w:snapToGrid w:val="0"/>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（一）灭火系统（包括消防水生产系统）；</w:t>
      </w:r>
    </w:p>
    <w:p>
      <w:pPr>
        <w:adjustRightInd w:val="0"/>
        <w:snapToGrid w:val="0"/>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（二）火灾自动报警系统；</w:t>
      </w:r>
    </w:p>
    <w:p>
      <w:pPr>
        <w:adjustRightInd w:val="0"/>
        <w:snapToGrid w:val="0"/>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（三）可燃气体探测系统；</w:t>
      </w:r>
    </w:p>
    <w:p>
      <w:pPr>
        <w:adjustRightInd w:val="0"/>
        <w:snapToGrid w:val="0"/>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（四）防排烟系统；</w:t>
      </w:r>
    </w:p>
    <w:p>
      <w:pPr>
        <w:adjustRightInd w:val="0"/>
        <w:snapToGrid w:val="0"/>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（五）其他消防相关设施，如防火卷帘、防火阀、消防应急照明、消防电梯等。</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黑体" w:cs="Times New Roman"/>
          <w:sz w:val="32"/>
          <w:szCs w:val="32"/>
        </w:rPr>
        <w:t>第十条</w:t>
      </w:r>
      <w:r>
        <w:rPr>
          <w:rFonts w:ascii="Times New Roman" w:hAnsi="Times New Roman" w:eastAsia="方正黑体_GBK" w:cs="Times New Roman"/>
          <w:sz w:val="32"/>
          <w:szCs w:val="32"/>
        </w:rPr>
        <w:t xml:space="preserve"> </w:t>
      </w:r>
      <w:r>
        <w:rPr>
          <w:rFonts w:hint="eastAsia" w:ascii="Times New Roman" w:hAnsi="Times New Roman" w:eastAsia="仿宋_GB2312" w:cs="Times New Roman"/>
          <w:bCs/>
          <w:sz w:val="32"/>
          <w:szCs w:val="32"/>
        </w:rPr>
        <w:t>核电厂所有消防工程均需进行自验收，每个建构筑物及设施在正式投入使用前，应当完成该单项工程的消防自验收。核电厂营运单位应当在首个单项工程自验收前成立专门的组织机构负责消防自验收，消防重点部位和机组运行期间不能进入区域的消防工程，应当在自验收现场检查</w:t>
      </w:r>
      <w:r>
        <w:rPr>
          <w:rFonts w:ascii="Times New Roman" w:hAnsi="Times New Roman" w:eastAsia="仿宋_GB2312" w:cs="Times New Roman"/>
          <w:bCs/>
          <w:sz w:val="32"/>
          <w:szCs w:val="32"/>
        </w:rPr>
        <w:t>前</w:t>
      </w:r>
      <w:r>
        <w:rPr>
          <w:rFonts w:hint="eastAsia" w:ascii="Times New Roman" w:hAnsi="Times New Roman" w:eastAsia="仿宋_GB2312" w:cs="Times New Roman"/>
          <w:bCs/>
          <w:sz w:val="32"/>
          <w:szCs w:val="32"/>
        </w:rPr>
        <w:t>10个</w:t>
      </w:r>
      <w:r>
        <w:rPr>
          <w:rFonts w:ascii="Times New Roman" w:hAnsi="Times New Roman" w:eastAsia="仿宋_GB2312" w:cs="Times New Roman"/>
          <w:bCs/>
          <w:sz w:val="32"/>
          <w:szCs w:val="32"/>
        </w:rPr>
        <w:t>工作日</w:t>
      </w:r>
      <w:r>
        <w:rPr>
          <w:rFonts w:hint="eastAsia" w:ascii="Times New Roman" w:hAnsi="Times New Roman" w:eastAsia="仿宋_GB2312" w:cs="Times New Roman"/>
          <w:bCs/>
          <w:sz w:val="32"/>
          <w:szCs w:val="32"/>
        </w:rPr>
        <w:t>，将有关工作安排报专业机构，专业机构根据情况选点实施见证检查。</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黑体" w:cs="Times New Roman"/>
          <w:sz w:val="32"/>
          <w:szCs w:val="32"/>
        </w:rPr>
        <w:t>第十一条</w:t>
      </w:r>
      <w:r>
        <w:rPr>
          <w:rFonts w:ascii="Times New Roman" w:hAnsi="Times New Roman" w:eastAsia="方正黑体_GBK" w:cs="Times New Roman"/>
          <w:sz w:val="32"/>
          <w:szCs w:val="32"/>
        </w:rPr>
        <w:t xml:space="preserve"> </w:t>
      </w:r>
      <w:r>
        <w:rPr>
          <w:rFonts w:hint="eastAsia" w:ascii="Times New Roman" w:hAnsi="Times New Roman" w:eastAsia="仿宋_GB2312" w:cs="Times New Roman"/>
          <w:bCs/>
          <w:sz w:val="32"/>
          <w:szCs w:val="32"/>
        </w:rPr>
        <w:t>核电机组首次装料前，核电厂营运单位应当全面实施对核岛、常规岛等有关消防工程自验收工作，保证有关消防工程满足核安全要求，并通过专业机构的评估和国家核安全局的装料前审查。专业机构的评估意见和国家核安全局对消防相关系统的审查意见，在申请消防验收时一并提交。</w:t>
      </w:r>
    </w:p>
    <w:p>
      <w:pPr>
        <w:widowControl w:val="0"/>
        <w:spacing w:before="156" w:beforeLines="50" w:after="156" w:afterLines="50" w:line="586" w:lineRule="exact"/>
        <w:jc w:val="center"/>
        <w:outlineLvl w:val="0"/>
        <w:rPr>
          <w:rFonts w:ascii="Times New Roman" w:hAnsi="Times New Roman" w:eastAsia="黑体" w:cs="Times New Roman"/>
          <w:b w:val="0"/>
          <w:bCs w:val="0"/>
          <w:kern w:val="2"/>
          <w:sz w:val="32"/>
          <w:szCs w:val="32"/>
          <w:lang w:val="en-US" w:eastAsia="zh-CN" w:bidi="ar-SA"/>
        </w:rPr>
      </w:pPr>
      <w:bookmarkStart w:id="1" w:name="_Toc514255771"/>
      <w:r>
        <w:rPr>
          <w:rFonts w:hint="eastAsia" w:ascii="Times New Roman" w:hAnsi="Times New Roman" w:eastAsia="黑体" w:cs="Times New Roman"/>
          <w:b w:val="0"/>
          <w:bCs w:val="0"/>
          <w:kern w:val="2"/>
          <w:sz w:val="32"/>
          <w:szCs w:val="32"/>
          <w:lang w:val="en-US" w:eastAsia="zh-CN" w:bidi="ar-SA"/>
        </w:rPr>
        <w:t>第三章</w:t>
      </w:r>
      <w:r>
        <w:rPr>
          <w:rFonts w:ascii="Times New Roman" w:hAnsi="Times New Roman" w:eastAsia="黑体" w:cs="Times New Roman"/>
          <w:b w:val="0"/>
          <w:bCs w:val="0"/>
          <w:kern w:val="2"/>
          <w:sz w:val="32"/>
          <w:szCs w:val="32"/>
          <w:lang w:val="en-US" w:eastAsia="zh-CN" w:bidi="ar-SA"/>
        </w:rPr>
        <w:t xml:space="preserve"> </w:t>
      </w:r>
      <w:bookmarkEnd w:id="1"/>
      <w:r>
        <w:rPr>
          <w:rFonts w:hint="eastAsia" w:ascii="Times New Roman" w:hAnsi="Times New Roman" w:eastAsia="黑体" w:cs="Times New Roman"/>
          <w:b w:val="0"/>
          <w:bCs w:val="0"/>
          <w:kern w:val="2"/>
          <w:sz w:val="32"/>
          <w:szCs w:val="32"/>
          <w:lang w:val="en-US" w:eastAsia="zh-CN" w:bidi="ar-SA"/>
        </w:rPr>
        <w:t>验收方式和内容</w:t>
      </w:r>
    </w:p>
    <w:p>
      <w:pPr>
        <w:adjustRightInd w:val="0"/>
        <w:snapToGrid w:val="0"/>
        <w:spacing w:line="586" w:lineRule="exact"/>
        <w:ind w:firstLine="640" w:firstLineChars="200"/>
        <w:rPr>
          <w:rFonts w:ascii="Times New Roman" w:hAnsi="Times New Roman" w:eastAsia="方正黑体_GBK" w:cs="Times New Roman"/>
          <w:sz w:val="32"/>
          <w:szCs w:val="32"/>
        </w:rPr>
      </w:pPr>
      <w:r>
        <w:rPr>
          <w:rFonts w:hint="eastAsia" w:ascii="Times New Roman" w:hAnsi="Times New Roman" w:eastAsia="黑体" w:cs="Times New Roman"/>
          <w:sz w:val="32"/>
          <w:szCs w:val="32"/>
        </w:rPr>
        <w:t>第十二条</w:t>
      </w:r>
      <w:r>
        <w:rPr>
          <w:rFonts w:ascii="Times New Roman" w:hAnsi="Times New Roman" w:eastAsia="方正黑体_GBK" w:cs="Times New Roman"/>
          <w:sz w:val="32"/>
          <w:szCs w:val="32"/>
        </w:rPr>
        <w:t xml:space="preserve"> </w:t>
      </w:r>
      <w:r>
        <w:rPr>
          <w:rFonts w:hint="eastAsia" w:ascii="Times New Roman" w:hAnsi="Times New Roman" w:eastAsia="仿宋_GB2312" w:cs="Times New Roman"/>
          <w:bCs/>
          <w:sz w:val="32"/>
          <w:szCs w:val="32"/>
        </w:rPr>
        <w:t>核电厂消防验收评审采取资料审查、现场检查、功能性测试等方式进行。</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黑体" w:cs="Times New Roman"/>
          <w:sz w:val="32"/>
          <w:szCs w:val="32"/>
        </w:rPr>
        <w:t>第十三条</w:t>
      </w:r>
      <w:r>
        <w:rPr>
          <w:rFonts w:ascii="Times New Roman" w:hAnsi="Times New Roman" w:eastAsia="方正黑体_GBK" w:cs="Times New Roman"/>
          <w:sz w:val="32"/>
          <w:szCs w:val="32"/>
        </w:rPr>
        <w:t xml:space="preserve"> </w:t>
      </w:r>
      <w:r>
        <w:rPr>
          <w:rFonts w:hint="eastAsia" w:ascii="Times New Roman" w:hAnsi="Times New Roman" w:eastAsia="仿宋_GB2312" w:cs="Times New Roman"/>
          <w:bCs/>
          <w:sz w:val="32"/>
          <w:szCs w:val="32"/>
        </w:rPr>
        <w:t>资料审查主要内容及要求：</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（一）消防初步设计评审意见问题单整改实施情况，全数检查；</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（二）消防施工图审查问题单整改实施情况，全数检查；</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（三）最终安全分析报告（含火灾危害性分析评价报告）与消防相关的审查问题单及整改实施情况，全数检查；</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（四）</w:t>
      </w:r>
      <w:r>
        <w:rPr>
          <w:rFonts w:hint="eastAsia" w:ascii="Times New Roman" w:hAnsi="Times New Roman" w:eastAsia="仿宋_GB2312" w:cs="Times New Roman"/>
          <w:bCs/>
          <w:sz w:val="32"/>
          <w:szCs w:val="32"/>
          <w:lang w:eastAsia="zh-CN"/>
        </w:rPr>
        <w:t>经审查</w:t>
      </w:r>
      <w:r>
        <w:rPr>
          <w:rFonts w:hint="eastAsia" w:ascii="Times New Roman" w:hAnsi="Times New Roman" w:eastAsia="仿宋_GB2312" w:cs="Times New Roman"/>
          <w:bCs/>
          <w:sz w:val="32"/>
          <w:szCs w:val="32"/>
        </w:rPr>
        <w:t>的消防设计变更，全数检查；</w:t>
      </w:r>
    </w:p>
    <w:p>
      <w:pPr>
        <w:tabs>
          <w:tab w:val="right" w:pos="8674"/>
        </w:tabs>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（五）核电厂消防自验收报告，全数检查；</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（六）核电厂消防验收专项报告，全数检查；</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（七）设计、施工、监理、检测单位资质证明文件，全数检查；</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（八）消防系统调试报告或消防自动装置检测报告及其问题单、整改记录，抽查数量不少于</w:t>
      </w:r>
      <w:r>
        <w:rPr>
          <w:rFonts w:ascii="Times New Roman" w:hAnsi="Times New Roman" w:eastAsia="仿宋_GB2312" w:cs="Times New Roman"/>
          <w:bCs/>
          <w:sz w:val="32"/>
          <w:szCs w:val="32"/>
        </w:rPr>
        <w:t>10</w:t>
      </w:r>
      <w:r>
        <w:rPr>
          <w:rFonts w:hint="eastAsia" w:ascii="Times New Roman" w:hAnsi="Times New Roman" w:eastAsia="仿宋_GB2312" w:cs="Times New Roman"/>
          <w:bCs/>
          <w:sz w:val="32"/>
          <w:szCs w:val="32"/>
        </w:rPr>
        <w:t>处；</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（九）消防产品清单及质量证明文件，抽查数量不少于</w:t>
      </w:r>
      <w:r>
        <w:rPr>
          <w:rFonts w:ascii="Times New Roman" w:hAnsi="Times New Roman" w:eastAsia="仿宋_GB2312" w:cs="Times New Roman"/>
          <w:bCs/>
          <w:sz w:val="32"/>
          <w:szCs w:val="32"/>
        </w:rPr>
        <w:t>10</w:t>
      </w:r>
      <w:r>
        <w:rPr>
          <w:rFonts w:hint="eastAsia" w:ascii="Times New Roman" w:hAnsi="Times New Roman" w:eastAsia="仿宋_GB2312" w:cs="Times New Roman"/>
          <w:bCs/>
          <w:sz w:val="32"/>
          <w:szCs w:val="32"/>
        </w:rPr>
        <w:t>处；</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（十）消防产品鉴定、检验报告，抽查数量不少于</w:t>
      </w:r>
      <w:r>
        <w:rPr>
          <w:rFonts w:ascii="Times New Roman" w:hAnsi="Times New Roman" w:eastAsia="仿宋_GB2312" w:cs="Times New Roman"/>
          <w:bCs/>
          <w:sz w:val="32"/>
          <w:szCs w:val="32"/>
        </w:rPr>
        <w:t>10</w:t>
      </w:r>
      <w:r>
        <w:rPr>
          <w:rFonts w:hint="eastAsia" w:ascii="Times New Roman" w:hAnsi="Times New Roman" w:eastAsia="仿宋_GB2312" w:cs="Times New Roman"/>
          <w:bCs/>
          <w:sz w:val="32"/>
          <w:szCs w:val="32"/>
        </w:rPr>
        <w:t>处；</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（十一）消防产品认证证书或型式认可证书，抽查数量不少于</w:t>
      </w:r>
      <w:r>
        <w:rPr>
          <w:rFonts w:ascii="Times New Roman" w:hAnsi="Times New Roman" w:eastAsia="仿宋_GB2312" w:cs="Times New Roman"/>
          <w:bCs/>
          <w:sz w:val="32"/>
          <w:szCs w:val="32"/>
        </w:rPr>
        <w:t>10</w:t>
      </w:r>
      <w:r>
        <w:rPr>
          <w:rFonts w:hint="eastAsia" w:ascii="Times New Roman" w:hAnsi="Times New Roman" w:eastAsia="仿宋_GB2312" w:cs="Times New Roman"/>
          <w:bCs/>
          <w:sz w:val="32"/>
          <w:szCs w:val="32"/>
        </w:rPr>
        <w:t>处。</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黑体" w:cs="Times New Roman"/>
          <w:sz w:val="32"/>
          <w:szCs w:val="32"/>
        </w:rPr>
        <w:t>第十四条</w:t>
      </w:r>
      <w:r>
        <w:rPr>
          <w:rFonts w:ascii="Times New Roman" w:hAnsi="Times New Roman" w:eastAsia="方正黑体_GBK" w:cs="Times New Roman"/>
          <w:sz w:val="32"/>
          <w:szCs w:val="32"/>
        </w:rPr>
        <w:t xml:space="preserve"> </w:t>
      </w:r>
      <w:r>
        <w:rPr>
          <w:rFonts w:hint="eastAsia" w:ascii="Times New Roman" w:hAnsi="Times New Roman" w:eastAsia="仿宋_GB2312" w:cs="Times New Roman"/>
          <w:bCs/>
          <w:sz w:val="32"/>
          <w:szCs w:val="32"/>
        </w:rPr>
        <w:t>现场检查采取目视检查、现场测量和工程技术文件核对相结合的方式。对建筑防火、消防设施的外观质量、安装质量等进行现场查看，对涉及距离、空间要求的消防工程进行现场测量。每台机组至少抽查</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个核岛建构筑物或设施、</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个常规岛建构筑物或设施、</w:t>
      </w:r>
      <w:r>
        <w:rPr>
          <w:rFonts w:ascii="Times New Roman" w:hAnsi="Times New Roman" w:eastAsia="仿宋_GB2312" w:cs="Times New Roman"/>
          <w:bCs/>
          <w:sz w:val="32"/>
          <w:szCs w:val="32"/>
        </w:rPr>
        <w:t>3</w:t>
      </w:r>
      <w:r>
        <w:rPr>
          <w:rFonts w:hint="eastAsia" w:ascii="Times New Roman" w:hAnsi="Times New Roman" w:eastAsia="仿宋_GB2312" w:cs="Times New Roman"/>
          <w:bCs/>
          <w:sz w:val="32"/>
          <w:szCs w:val="32"/>
        </w:rPr>
        <w:t>个</w:t>
      </w:r>
      <w:r>
        <w:rPr>
          <w:rFonts w:ascii="Times New Roman" w:hAnsi="Times New Roman" w:eastAsia="仿宋_GB2312" w:cs="Times New Roman"/>
          <w:bCs/>
          <w:sz w:val="32"/>
          <w:szCs w:val="32"/>
        </w:rPr>
        <w:t>BOP</w:t>
      </w:r>
      <w:r>
        <w:rPr>
          <w:rFonts w:hint="eastAsia" w:ascii="Times New Roman" w:hAnsi="Times New Roman" w:eastAsia="仿宋_GB2312" w:cs="Times New Roman"/>
          <w:bCs/>
          <w:sz w:val="32"/>
          <w:szCs w:val="32"/>
        </w:rPr>
        <w:t>建构筑物或设施，抽查对象的选取应当结合机组的设计特点，原则上应当覆盖下述部位：</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bCs/>
          <w:sz w:val="32"/>
          <w:szCs w:val="32"/>
        </w:rPr>
        <w:t>核岛辅助系统相关厂房、电气系统相关厂房、应急柴油发电机厂房等；</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bCs/>
          <w:sz w:val="32"/>
          <w:szCs w:val="32"/>
        </w:rPr>
        <w:t>常规岛汽轮发电机厂房、电气房间、网控楼</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网络继电器室、润滑油房间、主变压器等；</w:t>
      </w:r>
    </w:p>
    <w:p>
      <w:pPr>
        <w:adjustRightInd w:val="0"/>
        <w:snapToGrid w:val="0"/>
        <w:spacing w:line="586" w:lineRule="exact"/>
        <w:ind w:firstLine="640" w:firstLineChars="200"/>
        <w:rPr>
          <w:rFonts w:ascii="Times New Roman" w:hAnsi="Times New Roman" w:eastAsia="方正仿宋_GBK"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bCs/>
          <w:sz w:val="32"/>
          <w:szCs w:val="32"/>
        </w:rPr>
        <w:t>BOP</w:t>
      </w:r>
      <w:r>
        <w:rPr>
          <w:rFonts w:hint="eastAsia" w:ascii="Times New Roman" w:hAnsi="Times New Roman" w:eastAsia="仿宋_GB2312" w:cs="Times New Roman"/>
          <w:bCs/>
          <w:sz w:val="32"/>
          <w:szCs w:val="32"/>
        </w:rPr>
        <w:t>区域含有甲、乙类火灾危险性物质的厂房和仓库，以及集中消防控制室和消防泵房等。</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黑体" w:cs="Times New Roman"/>
          <w:sz w:val="32"/>
          <w:szCs w:val="32"/>
        </w:rPr>
        <w:t>第十五条</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功能性测试通过专用检查工具、仪器对消防设施进行检测。核电厂营运单位应当配合提供经标定的专用检查工具、仪器。功能性测试的项目包括火灾自动报警系统、灭火系统、防排烟系统、消防电气、防火分隔、火警响应等单项试验或相互之间的联动试验，每台机组功能性测试抽查数量应当不少于</w:t>
      </w:r>
      <w:r>
        <w:rPr>
          <w:rFonts w:ascii="Times New Roman" w:hAnsi="Times New Roman" w:eastAsia="仿宋_GB2312" w:cs="Times New Roman"/>
          <w:bCs/>
          <w:sz w:val="32"/>
          <w:szCs w:val="32"/>
        </w:rPr>
        <w:t>8</w:t>
      </w:r>
      <w:r>
        <w:rPr>
          <w:rFonts w:hint="eastAsia" w:ascii="Times New Roman" w:hAnsi="Times New Roman" w:eastAsia="仿宋_GB2312" w:cs="Times New Roman"/>
          <w:bCs/>
          <w:sz w:val="32"/>
          <w:szCs w:val="32"/>
        </w:rPr>
        <w:t>项。</w:t>
      </w:r>
    </w:p>
    <w:p>
      <w:pPr>
        <w:widowControl w:val="0"/>
        <w:spacing w:before="156" w:beforeLines="50" w:after="156" w:afterLines="50" w:line="586" w:lineRule="exact"/>
        <w:jc w:val="center"/>
        <w:outlineLvl w:val="0"/>
        <w:rPr>
          <w:rFonts w:hint="eastAsia"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CN" w:bidi="ar-SA"/>
        </w:rPr>
        <w:t>第四章 验收整改</w:t>
      </w:r>
    </w:p>
    <w:p>
      <w:pPr>
        <w:adjustRightInd w:val="0"/>
        <w:snapToGrid w:val="0"/>
        <w:spacing w:line="586" w:lineRule="exact"/>
        <w:ind w:firstLine="640" w:firstLineChars="200"/>
        <w:rPr>
          <w:rFonts w:ascii="Times New Roman" w:hAnsi="Times New Roman" w:eastAsia="仿宋_GB2312" w:cs="Times New Roman"/>
          <w:bCs/>
          <w:sz w:val="32"/>
          <w:szCs w:val="32"/>
        </w:rPr>
      </w:pPr>
      <w:r>
        <w:rPr>
          <w:rFonts w:hint="eastAsia" w:ascii="Times New Roman" w:hAnsi="Times New Roman" w:eastAsia="黑体" w:cs="Times New Roman"/>
          <w:sz w:val="32"/>
          <w:szCs w:val="32"/>
        </w:rPr>
        <w:t>第十六条</w:t>
      </w:r>
      <w:r>
        <w:rPr>
          <w:rFonts w:ascii="Times New Roman" w:hAnsi="Times New Roman" w:eastAsia="方正仿宋_GBK" w:cs="Times New Roman"/>
          <w:sz w:val="32"/>
          <w:szCs w:val="32"/>
        </w:rPr>
        <w:t xml:space="preserve"> </w:t>
      </w:r>
      <w:r>
        <w:rPr>
          <w:rFonts w:hint="eastAsia" w:ascii="Times New Roman" w:hAnsi="Times New Roman" w:eastAsia="仿宋_GB2312" w:cs="Times New Roman"/>
          <w:bCs/>
          <w:sz w:val="32"/>
          <w:szCs w:val="32"/>
        </w:rPr>
        <w:t>专业机构在资料审查、现场检查、功能性测试的基础上，认真审查和质询，形成《核电厂消防验收记录表》，针对验收发现</w:t>
      </w:r>
      <w:r>
        <w:rPr>
          <w:rFonts w:ascii="Times New Roman" w:hAnsi="Times New Roman" w:eastAsia="仿宋_GB2312" w:cs="Times New Roman"/>
          <w:bCs/>
          <w:sz w:val="32"/>
          <w:szCs w:val="32"/>
        </w:rPr>
        <w:t>的</w:t>
      </w:r>
      <w:r>
        <w:rPr>
          <w:rFonts w:hint="eastAsia" w:ascii="Times New Roman" w:hAnsi="Times New Roman" w:eastAsia="仿宋_GB2312" w:cs="Times New Roman"/>
          <w:bCs/>
          <w:sz w:val="32"/>
          <w:szCs w:val="32"/>
        </w:rPr>
        <w:t>问题，填写《核电厂消防验收问题单》。</w:t>
      </w:r>
    </w:p>
    <w:p>
      <w:pPr>
        <w:adjustRightInd w:val="0"/>
        <w:snapToGrid w:val="0"/>
        <w:spacing w:line="586"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rPr>
        <w:t>第十七条</w:t>
      </w:r>
      <w:r>
        <w:rPr>
          <w:rFonts w:ascii="Times New Roman" w:hAnsi="Times New Roman" w:eastAsia="方正仿宋_GBK" w:cs="Times New Roman"/>
          <w:sz w:val="32"/>
          <w:szCs w:val="32"/>
        </w:rPr>
        <w:t xml:space="preserve"> </w:t>
      </w:r>
      <w:r>
        <w:rPr>
          <w:rFonts w:hint="eastAsia" w:ascii="Times New Roman" w:hAnsi="Times New Roman" w:eastAsia="仿宋_GB2312" w:cs="Times New Roman"/>
          <w:bCs/>
          <w:sz w:val="32"/>
          <w:szCs w:val="32"/>
        </w:rPr>
        <w:t>对验收中发现的问题，核电厂营运单位应当对可能存在的同类问题进行全面排查，专业机构应当对排查结果进行抽查。专业</w:t>
      </w:r>
      <w:r>
        <w:rPr>
          <w:rFonts w:ascii="Times New Roman" w:hAnsi="Times New Roman" w:eastAsia="仿宋_GB2312" w:cs="Times New Roman"/>
          <w:bCs/>
          <w:sz w:val="32"/>
          <w:szCs w:val="32"/>
        </w:rPr>
        <w:t>机构</w:t>
      </w:r>
      <w:r>
        <w:rPr>
          <w:rFonts w:hint="eastAsia" w:ascii="Times New Roman" w:hAnsi="Times New Roman" w:eastAsia="仿宋_GB2312" w:cs="Times New Roman"/>
          <w:bCs/>
          <w:sz w:val="32"/>
          <w:szCs w:val="32"/>
        </w:rPr>
        <w:t>在评审过程</w:t>
      </w:r>
      <w:r>
        <w:rPr>
          <w:rFonts w:ascii="Times New Roman" w:hAnsi="Times New Roman" w:eastAsia="仿宋_GB2312" w:cs="Times New Roman"/>
          <w:bCs/>
          <w:sz w:val="32"/>
          <w:szCs w:val="32"/>
        </w:rPr>
        <w:t>中</w:t>
      </w:r>
      <w:r>
        <w:rPr>
          <w:rFonts w:hint="eastAsia" w:ascii="Times New Roman" w:hAnsi="Times New Roman" w:eastAsia="仿宋_GB2312" w:cs="Times New Roman"/>
          <w:bCs/>
          <w:sz w:val="32"/>
          <w:szCs w:val="32"/>
        </w:rPr>
        <w:t>如</w:t>
      </w:r>
      <w:r>
        <w:rPr>
          <w:rFonts w:ascii="Times New Roman" w:hAnsi="Times New Roman" w:eastAsia="仿宋_GB2312" w:cs="Times New Roman"/>
          <w:bCs/>
          <w:sz w:val="32"/>
          <w:szCs w:val="32"/>
        </w:rPr>
        <w:t>发现重大问题和风险隐患</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应</w:t>
      </w:r>
      <w:r>
        <w:rPr>
          <w:rFonts w:hint="eastAsia" w:ascii="Times New Roman" w:hAnsi="Times New Roman" w:eastAsia="仿宋_GB2312" w:cs="Times New Roman"/>
          <w:bCs/>
          <w:sz w:val="32"/>
          <w:szCs w:val="32"/>
        </w:rPr>
        <w:t>当第一时间通知企业整改，</w:t>
      </w:r>
      <w:r>
        <w:rPr>
          <w:rFonts w:ascii="Times New Roman" w:hAnsi="Times New Roman" w:eastAsia="仿宋_GB2312" w:cs="Times New Roman"/>
          <w:bCs/>
          <w:sz w:val="32"/>
          <w:szCs w:val="32"/>
        </w:rPr>
        <w:t>企业未予整改的，应</w:t>
      </w:r>
      <w:r>
        <w:rPr>
          <w:rFonts w:hint="eastAsia" w:ascii="Times New Roman" w:hAnsi="Times New Roman" w:eastAsia="仿宋_GB2312" w:cs="Times New Roman"/>
          <w:bCs/>
          <w:sz w:val="32"/>
          <w:szCs w:val="32"/>
        </w:rPr>
        <w:t>当</w:t>
      </w:r>
      <w:r>
        <w:rPr>
          <w:rFonts w:ascii="Times New Roman" w:hAnsi="Times New Roman" w:eastAsia="仿宋_GB2312" w:cs="Times New Roman"/>
          <w:bCs/>
          <w:sz w:val="32"/>
          <w:szCs w:val="32"/>
        </w:rPr>
        <w:t>在评审报告中特别说明。</w:t>
      </w:r>
    </w:p>
    <w:p>
      <w:pPr>
        <w:adjustRightInd w:val="0"/>
        <w:snapToGrid w:val="0"/>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第十八条</w:t>
      </w:r>
      <w:r>
        <w:rPr>
          <w:rFonts w:ascii="Times New Roman" w:hAnsi="Times New Roman" w:eastAsia="黑体" w:cs="Times New Roman"/>
          <w:sz w:val="32"/>
          <w:szCs w:val="32"/>
        </w:rPr>
        <w:t xml:space="preserve"> </w:t>
      </w:r>
      <w:r>
        <w:rPr>
          <w:rFonts w:hint="eastAsia" w:ascii="Times New Roman" w:hAnsi="Times New Roman" w:eastAsia="仿宋_GB2312" w:cs="Times New Roman"/>
          <w:bCs/>
          <w:sz w:val="32"/>
          <w:szCs w:val="32"/>
        </w:rPr>
        <w:t>核电厂营运单位应当对所有验收问题单进行认真答复与整改，并报专业机构现场确认。</w:t>
      </w:r>
    </w:p>
    <w:p>
      <w:pPr>
        <w:adjustRightInd w:val="0"/>
        <w:snapToGrid w:val="0"/>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第十九条</w:t>
      </w:r>
      <w:r>
        <w:rPr>
          <w:rFonts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对验收中发现的需现场整改的问题，核电厂营运单位要按照应改尽改、能早尽早的原则，及时开展工程改造、设备更换等工作。对于确需较长时间整改且对核安全没有重要影响的问题，核电厂营运单位可对问题整改作出承诺，明确整改时限和整改完成前的临时管控措施，经专业机构评审认可后，向国家能源局申请消防验收。整改时限原则</w:t>
      </w:r>
      <w:r>
        <w:rPr>
          <w:rFonts w:ascii="Times New Roman" w:hAnsi="Times New Roman" w:eastAsia="仿宋_GB2312" w:cs="Times New Roman"/>
          <w:sz w:val="32"/>
          <w:szCs w:val="32"/>
        </w:rPr>
        <w:t>上不得超过</w:t>
      </w:r>
      <w:r>
        <w:rPr>
          <w:rFonts w:hint="eastAsia" w:ascii="Times New Roman" w:hAnsi="Times New Roman" w:eastAsia="仿宋_GB2312" w:cs="Times New Roman"/>
          <w:sz w:val="32"/>
          <w:szCs w:val="32"/>
        </w:rPr>
        <w:t>一个换料周期。</w:t>
      </w:r>
    </w:p>
    <w:p>
      <w:pPr>
        <w:adjustRightInd w:val="0"/>
        <w:snapToGrid w:val="0"/>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第二十条</w:t>
      </w:r>
      <w:r>
        <w:rPr>
          <w:rFonts w:ascii="Times New Roman" w:hAnsi="Times New Roman" w:eastAsia="方正黑体_GBK" w:cs="Times New Roman"/>
          <w:sz w:val="32"/>
          <w:szCs w:val="32"/>
        </w:rPr>
        <w:t xml:space="preserve"> </w:t>
      </w:r>
      <w:r>
        <w:rPr>
          <w:rFonts w:hint="eastAsia" w:ascii="Times New Roman" w:hAnsi="Times New Roman" w:eastAsia="仿宋_GB2312" w:cs="Times New Roman"/>
          <w:sz w:val="32"/>
          <w:szCs w:val="32"/>
        </w:rPr>
        <w:t>专业机构在综合考察核电厂消防工程</w:t>
      </w:r>
      <w:r>
        <w:rPr>
          <w:rFonts w:ascii="Times New Roman" w:hAnsi="Times New Roman" w:eastAsia="仿宋_GB2312" w:cs="Times New Roman"/>
          <w:sz w:val="32"/>
          <w:szCs w:val="32"/>
        </w:rPr>
        <w:t>设计、建设、</w:t>
      </w:r>
      <w:r>
        <w:rPr>
          <w:rFonts w:hint="eastAsia" w:ascii="Times New Roman" w:hAnsi="Times New Roman" w:eastAsia="仿宋_GB2312" w:cs="Times New Roman"/>
          <w:sz w:val="32"/>
          <w:szCs w:val="32"/>
        </w:rPr>
        <w:t>自验收、验收</w:t>
      </w:r>
      <w:r>
        <w:rPr>
          <w:rFonts w:hint="eastAsia" w:ascii="Times New Roman" w:hAnsi="Times New Roman" w:eastAsia="仿宋_GB2312" w:cs="Times New Roman"/>
          <w:sz w:val="32"/>
          <w:szCs w:val="32"/>
          <w:lang w:eastAsia="zh-CN"/>
        </w:rPr>
        <w:t>各项结果</w:t>
      </w:r>
      <w:r>
        <w:rPr>
          <w:rFonts w:hint="eastAsia" w:ascii="Times New Roman" w:hAnsi="Times New Roman" w:eastAsia="仿宋_GB2312" w:cs="Times New Roman"/>
          <w:sz w:val="32"/>
          <w:szCs w:val="32"/>
        </w:rPr>
        <w:t>以及核电厂营运单位整改落实情况等基础上，研究提出验收意见，形成《核电厂消防验收评审报告》</w:t>
      </w:r>
      <w:r>
        <w:rPr>
          <w:rFonts w:hint="eastAsia" w:ascii="Times New Roman" w:hAnsi="Times New Roman" w:eastAsia="仿宋_GB2312" w:cs="Times New Roman"/>
          <w:sz w:val="32"/>
          <w:szCs w:val="32"/>
          <w:lang w:eastAsia="zh-CN"/>
        </w:rPr>
        <w:t>（参考格式见附件）</w:t>
      </w:r>
      <w:r>
        <w:rPr>
          <w:rFonts w:hint="eastAsia" w:ascii="Times New Roman" w:hAnsi="Times New Roman" w:eastAsia="仿宋_GB2312" w:cs="Times New Roman"/>
          <w:sz w:val="32"/>
          <w:szCs w:val="32"/>
        </w:rPr>
        <w:t>。</w:t>
      </w:r>
    </w:p>
    <w:p>
      <w:pPr>
        <w:adjustRightInd w:val="0"/>
        <w:snapToGrid w:val="0"/>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第二十一条 </w:t>
      </w:r>
      <w:r>
        <w:rPr>
          <w:rFonts w:hint="eastAsia" w:ascii="Times New Roman" w:hAnsi="Times New Roman" w:eastAsia="仿宋_GB2312" w:cs="Times New Roman"/>
          <w:bCs/>
          <w:sz w:val="32"/>
          <w:szCs w:val="32"/>
        </w:rPr>
        <w:t>核电厂营运单位要严格履行承诺</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按期</w:t>
      </w:r>
      <w:r>
        <w:rPr>
          <w:rFonts w:ascii="Times New Roman" w:hAnsi="Times New Roman" w:eastAsia="仿宋_GB2312" w:cs="Times New Roman"/>
          <w:bCs/>
          <w:sz w:val="32"/>
          <w:szCs w:val="32"/>
        </w:rPr>
        <w:t>完成整改并经专业机构确认。</w:t>
      </w:r>
      <w:r>
        <w:rPr>
          <w:rFonts w:hint="eastAsia" w:ascii="Times New Roman" w:hAnsi="Times New Roman" w:eastAsia="仿宋_GB2312" w:cs="Times New Roman"/>
          <w:bCs/>
          <w:sz w:val="32"/>
          <w:szCs w:val="32"/>
        </w:rPr>
        <w:t>承诺事项</w:t>
      </w:r>
      <w:r>
        <w:rPr>
          <w:rFonts w:ascii="Times New Roman" w:hAnsi="Times New Roman" w:eastAsia="仿宋_GB2312" w:cs="Times New Roman"/>
          <w:bCs/>
          <w:sz w:val="32"/>
          <w:szCs w:val="32"/>
        </w:rPr>
        <w:t>整改情况及专业机构确认意见，于事后报国家能源局及其派出机构备案。</w:t>
      </w:r>
    </w:p>
    <w:p>
      <w:pPr>
        <w:widowControl w:val="0"/>
        <w:spacing w:before="156" w:beforeLines="50" w:after="156" w:afterLines="50" w:line="586" w:lineRule="exact"/>
        <w:jc w:val="center"/>
        <w:outlineLvl w:val="0"/>
        <w:rPr>
          <w:rFonts w:ascii="Times New Roman" w:hAnsi="Times New Roman" w:eastAsia="黑体" w:cs="Times New Roman"/>
          <w:b w:val="0"/>
          <w:bCs w:val="0"/>
          <w:kern w:val="2"/>
          <w:sz w:val="32"/>
          <w:szCs w:val="32"/>
          <w:lang w:val="en-US" w:eastAsia="zh-CN" w:bidi="ar-SA"/>
        </w:rPr>
      </w:pPr>
      <w:bookmarkStart w:id="2" w:name="_Toc514255775"/>
      <w:r>
        <w:rPr>
          <w:rFonts w:hint="eastAsia" w:ascii="Times New Roman" w:hAnsi="Times New Roman" w:eastAsia="黑体" w:cs="Times New Roman"/>
          <w:b w:val="0"/>
          <w:bCs w:val="0"/>
          <w:kern w:val="2"/>
          <w:sz w:val="32"/>
          <w:szCs w:val="32"/>
          <w:lang w:val="en-US" w:eastAsia="zh-CN" w:bidi="ar-SA"/>
        </w:rPr>
        <w:t>第五章</w:t>
      </w:r>
      <w:r>
        <w:rPr>
          <w:rFonts w:ascii="Times New Roman" w:hAnsi="Times New Roman" w:eastAsia="黑体" w:cs="Times New Roman"/>
          <w:b w:val="0"/>
          <w:bCs w:val="0"/>
          <w:kern w:val="2"/>
          <w:sz w:val="32"/>
          <w:szCs w:val="32"/>
          <w:lang w:val="en-US" w:eastAsia="zh-CN" w:bidi="ar-SA"/>
        </w:rPr>
        <w:t xml:space="preserve"> </w:t>
      </w:r>
      <w:r>
        <w:rPr>
          <w:rFonts w:hint="eastAsia" w:ascii="Times New Roman" w:hAnsi="Times New Roman" w:eastAsia="黑体" w:cs="Times New Roman"/>
          <w:b w:val="0"/>
          <w:bCs w:val="0"/>
          <w:kern w:val="2"/>
          <w:sz w:val="32"/>
          <w:szCs w:val="32"/>
          <w:lang w:val="en-US" w:eastAsia="zh-CN" w:bidi="ar-SA"/>
        </w:rPr>
        <w:t>附则</w:t>
      </w:r>
      <w:bookmarkEnd w:id="2"/>
    </w:p>
    <w:p>
      <w:pPr>
        <w:adjustRightInd w:val="0"/>
        <w:snapToGrid w:val="0"/>
        <w:spacing w:line="58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bCs/>
          <w:sz w:val="32"/>
          <w:szCs w:val="32"/>
        </w:rPr>
        <w:t>专业机构在评审过程中如遇到特殊情况或没有明确规定的重大问题，可提请国家能源局核电厂消防专家委员会进行技术咨询。</w:t>
      </w:r>
    </w:p>
    <w:p>
      <w:pPr>
        <w:adjustRightInd w:val="0"/>
        <w:snapToGrid w:val="0"/>
        <w:spacing w:line="58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第二十三条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本细则由国家能源局负责解释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自发布之日起施行，有效期</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《国家能源局关于印发&lt;核电厂初步设计消防专篇内容及深度规定&gt;&lt;核电厂消防工程竣工验收管理办法&gt;和&lt;运行核电厂消防安全管理实施细则&gt;的通知》</w:t>
      </w:r>
      <w:r>
        <w:rPr>
          <w:rFonts w:hint="default" w:ascii="Times New Roman" w:hAnsi="Times New Roman" w:eastAsia="仿宋_GB2312" w:cs="Times New Roman"/>
          <w:sz w:val="32"/>
          <w:szCs w:val="32"/>
          <w:lang w:eastAsia="zh-CN"/>
        </w:rPr>
        <w:t>（国能发核电〔201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〕8</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号</w:t>
      </w:r>
      <w:r>
        <w:rPr>
          <w:rFonts w:hint="eastAsia" w:ascii="Times New Roman" w:hAnsi="Times New Roman" w:eastAsia="仿宋_GB2312" w:cs="Times New Roman"/>
          <w:sz w:val="32"/>
          <w:szCs w:val="32"/>
          <w:lang w:eastAsia="zh-CN"/>
        </w:rPr>
        <w:t>）中的《核电厂消防工程竣工验收管理办法》同时废</w:t>
      </w:r>
      <w:r>
        <w:rPr>
          <w:rFonts w:hint="eastAsia" w:ascii="Times New Roman" w:hAnsi="Times New Roman" w:eastAsia="仿宋_GB2312" w:cs="Times New Roman"/>
          <w:sz w:val="32"/>
          <w:szCs w:val="32"/>
        </w:rPr>
        <w:t>止</w:t>
      </w:r>
      <w:r>
        <w:rPr>
          <w:rFonts w:hint="eastAsia" w:ascii="Times New Roman" w:hAnsi="Times New Roman" w:eastAsia="仿宋_GB2312" w:cs="Times New Roman"/>
          <w:sz w:val="32"/>
          <w:szCs w:val="32"/>
          <w:lang w:eastAsia="zh-CN"/>
        </w:rPr>
        <w:t>。此前规定中涉及核电厂消防设计变更审查和消防施工图设计审查的相关要求与本细则规定不一致的，以本细则为准</w:t>
      </w:r>
      <w:r>
        <w:rPr>
          <w:rFonts w:hint="eastAsia" w:ascii="Times New Roman" w:hAnsi="Times New Roman" w:eastAsia="仿宋_GB2312" w:cs="Times New Roman"/>
          <w:sz w:val="32"/>
          <w:szCs w:val="32"/>
        </w:rPr>
        <w:t>。</w:t>
      </w:r>
    </w:p>
    <w:p>
      <w:pPr>
        <w:adjustRightInd w:val="0"/>
        <w:snapToGrid w:val="0"/>
        <w:spacing w:line="586" w:lineRule="exact"/>
        <w:ind w:firstLine="640" w:firstLineChars="200"/>
        <w:rPr>
          <w:rFonts w:ascii="Times New Roman" w:hAnsi="Times New Roman" w:eastAsia="仿宋_GB2312" w:cs="Times New Roman"/>
          <w:sz w:val="32"/>
          <w:szCs w:val="32"/>
        </w:rPr>
      </w:pPr>
    </w:p>
    <w:p>
      <w:pPr>
        <w:adjustRightInd w:val="0"/>
        <w:snapToGrid w:val="0"/>
        <w:spacing w:line="586"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附件:核电厂消防验收评审报告</w:t>
      </w:r>
    </w:p>
    <w:p>
      <w:pPr>
        <w:widowControl/>
        <w:jc w:val="left"/>
        <w:rPr>
          <w:rFonts w:ascii="Times New Roman" w:hAnsi="Times New Roman" w:cs="Times New Roman"/>
        </w:rPr>
        <w:sectPr>
          <w:footerReference r:id="rId5" w:type="first"/>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p>
    <w:p>
      <w:pPr>
        <w:widowControl/>
        <w:jc w:val="left"/>
        <w:rPr>
          <w:rFonts w:ascii="黑体" w:hAnsi="黑体" w:eastAsia="黑体" w:cs="Times New Roman"/>
          <w:sz w:val="32"/>
          <w:szCs w:val="32"/>
        </w:rPr>
      </w:pPr>
      <w:r>
        <w:rPr>
          <w:rFonts w:hint="eastAsia" w:ascii="黑体" w:hAnsi="黑体" w:eastAsia="黑体" w:cs="Times New Roman"/>
          <w:sz w:val="32"/>
          <w:szCs w:val="32"/>
        </w:rPr>
        <w:t>附件</w:t>
      </w:r>
    </w:p>
    <w:p>
      <w:pPr>
        <w:widowControl/>
        <w:jc w:val="left"/>
        <w:rPr>
          <w:rFonts w:ascii="黑体" w:hAnsi="黑体" w:eastAsia="黑体" w:cs="Times New Roman"/>
          <w:sz w:val="32"/>
          <w:szCs w:val="32"/>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jc w:val="center"/>
        <w:rPr>
          <w:rFonts w:ascii="方正小标宋简体" w:hAnsi="方正小标宋简体" w:eastAsia="方正小标宋简体" w:cs="方正小标宋简体"/>
          <w:bCs/>
          <w:kern w:val="0"/>
          <w:sz w:val="40"/>
          <w:szCs w:val="40"/>
          <w:lang w:val="zh-CN"/>
        </w:rPr>
      </w:pPr>
      <w:r>
        <w:rPr>
          <w:rFonts w:hint="eastAsia" w:ascii="方正小标宋简体" w:hAnsi="方正小标宋简体" w:eastAsia="方正小标宋简体" w:cs="方正小标宋简体"/>
          <w:bCs/>
          <w:kern w:val="0"/>
          <w:sz w:val="40"/>
          <w:szCs w:val="40"/>
          <w:lang w:val="zh-CN"/>
        </w:rPr>
        <w:t>核电厂消防验收评审报告</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8"/>
          <w:szCs w:val="28"/>
        </w:rPr>
      </w:pPr>
    </w:p>
    <w:p>
      <w:pPr>
        <w:spacing w:line="360" w:lineRule="auto"/>
        <w:rPr>
          <w:rFonts w:ascii="Times New Roman" w:hAnsi="Times New Roman" w:eastAsia="宋体" w:cs="Times New Roman"/>
          <w:sz w:val="28"/>
          <w:szCs w:val="28"/>
        </w:rPr>
      </w:pPr>
    </w:p>
    <w:p>
      <w:pPr>
        <w:spacing w:line="360" w:lineRule="auto"/>
        <w:rPr>
          <w:rFonts w:ascii="Times New Roman" w:hAnsi="Times New Roman" w:eastAsia="宋体" w:cs="Times New Roman"/>
          <w:sz w:val="28"/>
          <w:szCs w:val="28"/>
        </w:rPr>
      </w:pPr>
    </w:p>
    <w:p>
      <w:pPr>
        <w:spacing w:line="360" w:lineRule="auto"/>
        <w:rPr>
          <w:rFonts w:ascii="Times New Roman" w:hAnsi="Times New Roman" w:eastAsia="仿宋_GB2312" w:cs="Times New Roman"/>
          <w:sz w:val="24"/>
          <w:szCs w:val="24"/>
        </w:rPr>
      </w:pPr>
    </w:p>
    <w:p>
      <w:pPr>
        <w:spacing w:line="360" w:lineRule="auto"/>
        <w:ind w:firstLine="1280" w:firstLineChars="400"/>
        <w:rPr>
          <w:rFonts w:ascii="仿宋_GB2312" w:hAnsi="仿宋_GB2312" w:eastAsia="仿宋_GB2312" w:cs="仿宋_GB2312"/>
          <w:sz w:val="32"/>
          <w:szCs w:val="32"/>
          <w:u w:val="single"/>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工程名称：</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评审单位：（印章）</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u w:val="single"/>
        </w:rPr>
      </w:pPr>
      <w:r>
        <w:rPr>
          <w:rFonts w:hint="eastAsia" w:ascii="仿宋_GB2312" w:hAnsi="仿宋_GB2312" w:eastAsia="仿宋_GB2312" w:cs="仿宋_GB2312"/>
          <w:sz w:val="32"/>
          <w:szCs w:val="32"/>
        </w:rPr>
        <w:t xml:space="preserve">          完成日期：</w:t>
      </w:r>
    </w:p>
    <w:p>
      <w:pPr>
        <w:spacing w:line="360" w:lineRule="auto"/>
        <w:rPr>
          <w:rFonts w:ascii="Times New Roman" w:hAnsi="Times New Roman" w:eastAsia="方正仿宋_GBK" w:cs="Times New Roman"/>
          <w:sz w:val="28"/>
          <w:szCs w:val="28"/>
        </w:rPr>
      </w:pPr>
    </w:p>
    <w:p>
      <w:pPr>
        <w:spacing w:line="360" w:lineRule="auto"/>
        <w:rPr>
          <w:rFonts w:ascii="Times New Roman" w:hAnsi="Times New Roman" w:eastAsia="方正仿宋_GBK" w:cs="Times New Roman"/>
          <w:sz w:val="24"/>
          <w:szCs w:val="24"/>
        </w:rPr>
        <w:sectPr>
          <w:pgSz w:w="11906" w:h="16838"/>
          <w:pgMar w:top="1985" w:right="1616" w:bottom="1814" w:left="1616" w:header="851" w:footer="992" w:gutter="0"/>
          <w:pgNumType w:fmt="numberInDash"/>
          <w:cols w:space="425" w:num="1"/>
          <w:docGrid w:type="lines" w:linePitch="312" w:charSpace="0"/>
        </w:sectPr>
      </w:pP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一、项目概况</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（一）项目基本情况</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本项目地理位置、厂址规划、建设规模、各参建方基本信息及工作范围、厂址功能区划分、主要里程碑节点等。</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（二）消防工程基本情况</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核电厂消防设计方针与原则、主要消防系统及其组成、消防初步设计的评审情况等。</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二、评审依据</w:t>
      </w:r>
      <w:r>
        <w:rPr>
          <w:rFonts w:ascii="Times New Roman" w:hAnsi="Times New Roman" w:eastAsia="黑体" w:cs="Times New Roman"/>
          <w:sz w:val="32"/>
          <w:szCs w:val="32"/>
        </w:rPr>
        <w:t>和范围</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（一）评审依据</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列出本次验收评审的依据文件，包括法律法规、规范性文件、技术标准、经批准的核电厂消防初步设计文件、安全分析报告中防火部分（含火灾危害性分析报告），和经审查的消防设计变更、施工图设计文件等。</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（二）评审范围</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描述消防验收评审工作范围，以附表形式列出本次验收评审范围内所有建筑子项名称、代码等信息。</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组织实施</w:t>
      </w:r>
    </w:p>
    <w:p>
      <w:pPr>
        <w:spacing w:line="588" w:lineRule="exact"/>
        <w:ind w:firstLine="640" w:firstLineChars="200"/>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rPr>
        <w:t>（一）组织</w:t>
      </w:r>
      <w:r>
        <w:rPr>
          <w:rFonts w:hint="eastAsia" w:ascii="Times New Roman" w:hAnsi="Times New Roman" w:eastAsia="楷体_GB2312" w:cs="Times New Roman"/>
          <w:sz w:val="32"/>
          <w:szCs w:val="32"/>
          <w:lang w:eastAsia="zh-CN"/>
        </w:rPr>
        <w:t>管理</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说明评审工作组织情况，评审专家组成员情况</w:t>
      </w:r>
      <w:r>
        <w:rPr>
          <w:rFonts w:hint="eastAsia" w:ascii="Times New Roman" w:hAnsi="Times New Roman" w:eastAsia="仿宋_GB2312" w:cs="Times New Roman"/>
          <w:sz w:val="32"/>
          <w:szCs w:val="32"/>
          <w:lang w:eastAsia="zh-CN"/>
        </w:rPr>
        <w:t>等</w:t>
      </w:r>
      <w:r>
        <w:rPr>
          <w:rFonts w:hint="eastAsia" w:ascii="Times New Roman" w:hAnsi="Times New Roman" w:eastAsia="仿宋_GB2312" w:cs="Times New Roman"/>
          <w:sz w:val="32"/>
          <w:szCs w:val="32"/>
        </w:rPr>
        <w:t>。</w:t>
      </w:r>
    </w:p>
    <w:p>
      <w:pPr>
        <w:spacing w:line="588" w:lineRule="exact"/>
        <w:ind w:firstLine="640" w:firstLineChars="200"/>
        <w:rPr>
          <w:rFonts w:ascii="黑体" w:hAnsi="黑体" w:eastAsia="黑体" w:cs="楷体_GB2312"/>
          <w:sz w:val="32"/>
          <w:szCs w:val="32"/>
        </w:rPr>
      </w:pPr>
      <w:r>
        <w:rPr>
          <w:rFonts w:hint="eastAsia" w:ascii="Times New Roman" w:hAnsi="Times New Roman" w:eastAsia="楷体_GB2312" w:cs="Times New Roman"/>
          <w:sz w:val="32"/>
          <w:szCs w:val="32"/>
        </w:rPr>
        <w:t>（二）全过程参与工作</w:t>
      </w:r>
      <w:r>
        <w:rPr>
          <w:rFonts w:ascii="Times New Roman" w:hAnsi="Times New Roman" w:eastAsia="楷体_GB2312" w:cs="Times New Roman"/>
          <w:sz w:val="32"/>
          <w:szCs w:val="32"/>
        </w:rPr>
        <w:t>开展</w:t>
      </w:r>
      <w:r>
        <w:rPr>
          <w:rFonts w:hint="eastAsia" w:ascii="Times New Roman" w:hAnsi="Times New Roman" w:eastAsia="楷体_GB2312" w:cs="Times New Roman"/>
          <w:sz w:val="32"/>
          <w:szCs w:val="32"/>
        </w:rPr>
        <w:t>情况</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1．消防设计变更审查。说明消防设计变更审查数量、主要内容等。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．消防施工图设计审查。说明消防施工图设计的审查数量、主要内容等，</w:t>
      </w:r>
      <w:r>
        <w:rPr>
          <w:rFonts w:hint="eastAsia" w:ascii="Times New Roman" w:hAnsi="Times New Roman" w:eastAsia="仿宋_GB2312" w:cs="Times New Roman"/>
          <w:sz w:val="32"/>
          <w:szCs w:val="32"/>
          <w:lang w:eastAsia="zh-CN"/>
        </w:rPr>
        <w:t>以及</w:t>
      </w:r>
      <w:r>
        <w:rPr>
          <w:rFonts w:hint="eastAsia" w:ascii="Times New Roman" w:hAnsi="Times New Roman" w:eastAsia="仿宋_GB2312" w:cs="Times New Roman"/>
          <w:sz w:val="32"/>
          <w:szCs w:val="32"/>
        </w:rPr>
        <w:t>落实初步设计审查意见情况。</w:t>
      </w:r>
      <w:r>
        <w:rPr>
          <w:rFonts w:ascii="Times New Roman" w:hAnsi="Times New Roman" w:eastAsia="仿宋_GB2312" w:cs="Times New Roman"/>
          <w:sz w:val="32"/>
          <w:szCs w:val="32"/>
        </w:rPr>
        <w:t xml:space="preserve"> </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．消防设备安装现场</w:t>
      </w:r>
      <w:r>
        <w:rPr>
          <w:rFonts w:ascii="Times New Roman" w:hAnsi="Times New Roman" w:eastAsia="仿宋_GB2312" w:cs="Times New Roman"/>
          <w:sz w:val="32"/>
          <w:szCs w:val="32"/>
        </w:rPr>
        <w:t>抽查见证</w:t>
      </w:r>
      <w:r>
        <w:rPr>
          <w:rFonts w:hint="eastAsia" w:ascii="Times New Roman" w:hAnsi="Times New Roman" w:eastAsia="仿宋_GB2312" w:cs="Times New Roman"/>
          <w:sz w:val="32"/>
          <w:szCs w:val="32"/>
        </w:rPr>
        <w:t>。说明消防设备安装现场</w:t>
      </w:r>
      <w:r>
        <w:rPr>
          <w:rFonts w:ascii="Times New Roman" w:hAnsi="Times New Roman" w:eastAsia="仿宋_GB2312" w:cs="Times New Roman"/>
          <w:sz w:val="32"/>
          <w:szCs w:val="32"/>
        </w:rPr>
        <w:t>抽查见证</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情况，包括见证时间、见证内容等。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．消防系统试验现场</w:t>
      </w:r>
      <w:r>
        <w:rPr>
          <w:rFonts w:ascii="Times New Roman" w:hAnsi="Times New Roman" w:eastAsia="仿宋_GB2312" w:cs="Times New Roman"/>
          <w:sz w:val="32"/>
          <w:szCs w:val="32"/>
        </w:rPr>
        <w:t>抽查</w:t>
      </w:r>
      <w:r>
        <w:rPr>
          <w:rFonts w:hint="eastAsia" w:ascii="Times New Roman" w:hAnsi="Times New Roman" w:eastAsia="仿宋_GB2312" w:cs="Times New Roman"/>
          <w:sz w:val="32"/>
          <w:szCs w:val="32"/>
        </w:rPr>
        <w:t>见证。说明消防系统</w:t>
      </w:r>
      <w:r>
        <w:rPr>
          <w:rFonts w:hint="eastAsia" w:ascii="Times New Roman" w:hAnsi="Times New Roman" w:eastAsia="仿宋_GB2312" w:cs="Times New Roman"/>
          <w:sz w:val="32"/>
          <w:szCs w:val="32"/>
          <w:lang w:eastAsia="zh-CN"/>
        </w:rPr>
        <w:t>试验</w:t>
      </w:r>
      <w:r>
        <w:rPr>
          <w:rFonts w:hint="eastAsia" w:ascii="Times New Roman" w:hAnsi="Times New Roman" w:eastAsia="仿宋_GB2312" w:cs="Times New Roman"/>
          <w:sz w:val="32"/>
          <w:szCs w:val="32"/>
        </w:rPr>
        <w:t>现场</w:t>
      </w:r>
      <w:r>
        <w:rPr>
          <w:rFonts w:ascii="Times New Roman" w:hAnsi="Times New Roman" w:eastAsia="仿宋_GB2312" w:cs="Times New Roman"/>
          <w:sz w:val="32"/>
          <w:szCs w:val="32"/>
        </w:rPr>
        <w:t>抽查</w:t>
      </w:r>
      <w:r>
        <w:rPr>
          <w:rFonts w:hint="eastAsia" w:ascii="Times New Roman" w:hAnsi="Times New Roman" w:eastAsia="仿宋_GB2312" w:cs="Times New Roman"/>
          <w:sz w:val="32"/>
          <w:szCs w:val="32"/>
        </w:rPr>
        <w:t>见证工作</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情况，包括见证时间、见证内容等。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．消防自验收现场抽查见证。说明消防自验收现场</w:t>
      </w:r>
      <w:r>
        <w:rPr>
          <w:rFonts w:ascii="Times New Roman" w:hAnsi="Times New Roman" w:eastAsia="仿宋_GB2312" w:cs="Times New Roman"/>
          <w:sz w:val="32"/>
          <w:szCs w:val="32"/>
        </w:rPr>
        <w:t>抽查</w:t>
      </w:r>
      <w:r>
        <w:rPr>
          <w:rFonts w:hint="eastAsia" w:ascii="Times New Roman" w:hAnsi="Times New Roman" w:eastAsia="仿宋_GB2312" w:cs="Times New Roman"/>
          <w:sz w:val="32"/>
          <w:szCs w:val="32"/>
        </w:rPr>
        <w:t>见证工作</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情况，包括见证时间、见证内容等。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．装料前消防评估。说明装料前消防评估工作</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情况，包括评估时间、评估内容、评估结论等。</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（三）验收评审</w:t>
      </w:r>
      <w:r>
        <w:rPr>
          <w:rFonts w:hint="eastAsia" w:ascii="Times New Roman" w:hAnsi="Times New Roman" w:eastAsia="楷体_GB2312" w:cs="Times New Roman"/>
          <w:sz w:val="32"/>
          <w:szCs w:val="32"/>
          <w:lang w:eastAsia="zh-CN"/>
        </w:rPr>
        <w:t>工作开展</w:t>
      </w:r>
      <w:r>
        <w:rPr>
          <w:rFonts w:hint="eastAsia" w:ascii="Times New Roman" w:hAnsi="Times New Roman" w:eastAsia="楷体_GB2312" w:cs="Times New Roman"/>
          <w:sz w:val="32"/>
          <w:szCs w:val="32"/>
        </w:rPr>
        <w:t>情况</w:t>
      </w:r>
    </w:p>
    <w:p>
      <w:pPr>
        <w:spacing w:line="58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．资料审查</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对照</w:t>
      </w:r>
      <w:r>
        <w:rPr>
          <w:rFonts w:hint="eastAsia" w:ascii="Times New Roman" w:hAnsi="Times New Roman" w:eastAsia="仿宋_GB2312" w:cs="Times New Roman"/>
          <w:bCs/>
          <w:sz w:val="32"/>
          <w:szCs w:val="32"/>
          <w:lang w:eastAsia="zh-CN"/>
        </w:rPr>
        <w:t>本</w:t>
      </w:r>
      <w:r>
        <w:rPr>
          <w:rFonts w:ascii="Times New Roman" w:hAnsi="Times New Roman" w:eastAsia="仿宋_GB2312" w:cs="Times New Roman"/>
          <w:bCs/>
          <w:sz w:val="32"/>
          <w:szCs w:val="32"/>
        </w:rPr>
        <w:t>细则</w:t>
      </w:r>
      <w:r>
        <w:rPr>
          <w:rFonts w:hint="eastAsia" w:ascii="Times New Roman" w:hAnsi="Times New Roman" w:eastAsia="仿宋_GB2312" w:cs="Times New Roman"/>
          <w:bCs/>
          <w:sz w:val="32"/>
          <w:szCs w:val="32"/>
        </w:rPr>
        <w:t>第</w:t>
      </w:r>
      <w:r>
        <w:rPr>
          <w:rFonts w:ascii="Times New Roman" w:hAnsi="Times New Roman" w:eastAsia="仿宋_GB2312" w:cs="Times New Roman"/>
          <w:bCs/>
          <w:sz w:val="32"/>
          <w:szCs w:val="32"/>
        </w:rPr>
        <w:t>十三条规定内容</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逐项说明</w:t>
      </w:r>
      <w:r>
        <w:rPr>
          <w:rFonts w:hint="eastAsia" w:ascii="Times New Roman" w:hAnsi="Times New Roman" w:eastAsia="仿宋_GB2312" w:cs="Times New Roman"/>
          <w:bCs/>
          <w:sz w:val="32"/>
          <w:szCs w:val="32"/>
        </w:rPr>
        <w:t>评审</w:t>
      </w:r>
      <w:r>
        <w:rPr>
          <w:rFonts w:ascii="Times New Roman" w:hAnsi="Times New Roman" w:eastAsia="仿宋_GB2312" w:cs="Times New Roman"/>
          <w:bCs/>
          <w:sz w:val="32"/>
          <w:szCs w:val="32"/>
        </w:rPr>
        <w:t>情况。</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2．现场检查。对照</w:t>
      </w:r>
      <w:r>
        <w:rPr>
          <w:rFonts w:hint="eastAsia" w:ascii="Times New Roman" w:hAnsi="Times New Roman" w:eastAsia="仿宋_GB2312" w:cs="Times New Roman"/>
          <w:bCs/>
          <w:sz w:val="32"/>
          <w:szCs w:val="32"/>
          <w:lang w:eastAsia="zh-CN"/>
        </w:rPr>
        <w:t>本</w:t>
      </w:r>
      <w:r>
        <w:rPr>
          <w:rFonts w:ascii="Times New Roman" w:hAnsi="Times New Roman" w:eastAsia="仿宋_GB2312" w:cs="Times New Roman"/>
          <w:bCs/>
          <w:sz w:val="32"/>
          <w:szCs w:val="32"/>
        </w:rPr>
        <w:t>细则</w:t>
      </w:r>
      <w:r>
        <w:rPr>
          <w:rFonts w:hint="eastAsia" w:ascii="Times New Roman" w:hAnsi="Times New Roman" w:eastAsia="仿宋_GB2312" w:cs="Times New Roman"/>
          <w:bCs/>
          <w:sz w:val="32"/>
          <w:szCs w:val="32"/>
        </w:rPr>
        <w:t>第</w:t>
      </w:r>
      <w:r>
        <w:rPr>
          <w:rFonts w:ascii="Times New Roman" w:hAnsi="Times New Roman" w:eastAsia="仿宋_GB2312" w:cs="Times New Roman"/>
          <w:bCs/>
          <w:sz w:val="32"/>
          <w:szCs w:val="32"/>
        </w:rPr>
        <w:t>十</w:t>
      </w:r>
      <w:r>
        <w:rPr>
          <w:rFonts w:hint="eastAsia" w:ascii="Times New Roman" w:hAnsi="Times New Roman" w:eastAsia="仿宋_GB2312" w:cs="Times New Roman"/>
          <w:bCs/>
          <w:sz w:val="32"/>
          <w:szCs w:val="32"/>
        </w:rPr>
        <w:t>四</w:t>
      </w:r>
      <w:r>
        <w:rPr>
          <w:rFonts w:ascii="Times New Roman" w:hAnsi="Times New Roman" w:eastAsia="仿宋_GB2312" w:cs="Times New Roman"/>
          <w:bCs/>
          <w:sz w:val="32"/>
          <w:szCs w:val="32"/>
        </w:rPr>
        <w:t>条规定内容</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说明</w:t>
      </w:r>
      <w:r>
        <w:rPr>
          <w:rFonts w:ascii="Times New Roman" w:hAnsi="Times New Roman" w:eastAsia="仿宋_GB2312" w:cs="Times New Roman"/>
          <w:sz w:val="32"/>
          <w:szCs w:val="32"/>
        </w:rPr>
        <w:t>核岛、常规岛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BOP</w:t>
      </w:r>
      <w:r>
        <w:rPr>
          <w:rFonts w:hint="eastAsia" w:ascii="Times New Roman" w:hAnsi="Times New Roman" w:eastAsia="仿宋_GB2312" w:cs="Times New Roman"/>
          <w:sz w:val="32"/>
          <w:szCs w:val="32"/>
        </w:rPr>
        <w:t>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筑物消防单项</w:t>
      </w:r>
      <w:r>
        <w:rPr>
          <w:rFonts w:ascii="Times New Roman" w:hAnsi="Times New Roman" w:eastAsia="仿宋_GB2312" w:cs="Times New Roman"/>
          <w:sz w:val="32"/>
          <w:szCs w:val="32"/>
        </w:rPr>
        <w:t>抽查情况</w:t>
      </w:r>
      <w:r>
        <w:rPr>
          <w:rFonts w:hint="eastAsia" w:ascii="Times New Roman" w:hAnsi="Times New Roman" w:eastAsia="仿宋_GB2312" w:cs="Times New Roman"/>
          <w:sz w:val="32"/>
          <w:szCs w:val="32"/>
        </w:rPr>
        <w:t>等。</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3．功能性测试。对照</w:t>
      </w:r>
      <w:r>
        <w:rPr>
          <w:rFonts w:hint="eastAsia" w:ascii="Times New Roman" w:hAnsi="Times New Roman" w:eastAsia="仿宋_GB2312" w:cs="Times New Roman"/>
          <w:bCs/>
          <w:sz w:val="32"/>
          <w:szCs w:val="32"/>
          <w:lang w:eastAsia="zh-CN"/>
        </w:rPr>
        <w:t>本</w:t>
      </w:r>
      <w:r>
        <w:rPr>
          <w:rFonts w:ascii="Times New Roman" w:hAnsi="Times New Roman" w:eastAsia="仿宋_GB2312" w:cs="Times New Roman"/>
          <w:bCs/>
          <w:sz w:val="32"/>
          <w:szCs w:val="32"/>
        </w:rPr>
        <w:t>细则</w:t>
      </w:r>
      <w:r>
        <w:rPr>
          <w:rFonts w:hint="eastAsia" w:ascii="Times New Roman" w:hAnsi="Times New Roman" w:eastAsia="仿宋_GB2312" w:cs="Times New Roman"/>
          <w:bCs/>
          <w:sz w:val="32"/>
          <w:szCs w:val="32"/>
        </w:rPr>
        <w:t>第</w:t>
      </w:r>
      <w:r>
        <w:rPr>
          <w:rFonts w:ascii="Times New Roman" w:hAnsi="Times New Roman" w:eastAsia="仿宋_GB2312" w:cs="Times New Roman"/>
          <w:bCs/>
          <w:sz w:val="32"/>
          <w:szCs w:val="32"/>
        </w:rPr>
        <w:t>十</w:t>
      </w:r>
      <w:r>
        <w:rPr>
          <w:rFonts w:hint="eastAsia" w:ascii="Times New Roman" w:hAnsi="Times New Roman" w:eastAsia="仿宋_GB2312" w:cs="Times New Roman"/>
          <w:bCs/>
          <w:sz w:val="32"/>
          <w:szCs w:val="32"/>
        </w:rPr>
        <w:t>五</w:t>
      </w:r>
      <w:r>
        <w:rPr>
          <w:rFonts w:ascii="Times New Roman" w:hAnsi="Times New Roman" w:eastAsia="仿宋_GB2312" w:cs="Times New Roman"/>
          <w:bCs/>
          <w:sz w:val="32"/>
          <w:szCs w:val="32"/>
        </w:rPr>
        <w:t>条规定内容</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现场</w:t>
      </w:r>
      <w:r>
        <w:rPr>
          <w:rFonts w:hint="eastAsia" w:ascii="Times New Roman" w:hAnsi="Times New Roman" w:eastAsia="仿宋_GB2312" w:cs="Times New Roman"/>
          <w:sz w:val="32"/>
          <w:szCs w:val="32"/>
        </w:rPr>
        <w:t>抽取</w:t>
      </w:r>
      <w:r>
        <w:rPr>
          <w:rFonts w:ascii="Times New Roman" w:hAnsi="Times New Roman" w:eastAsia="仿宋_GB2312" w:cs="Times New Roman"/>
          <w:sz w:val="32"/>
          <w:szCs w:val="32"/>
        </w:rPr>
        <w:t>测试的消防系统</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原理</w:t>
      </w:r>
      <w:r>
        <w:rPr>
          <w:rFonts w:hint="eastAsia" w:ascii="Times New Roman" w:hAnsi="Times New Roman" w:eastAsia="仿宋_GB2312" w:cs="Times New Roman"/>
          <w:sz w:val="32"/>
          <w:szCs w:val="32"/>
        </w:rPr>
        <w:t>、试验验证</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预期</w:t>
      </w:r>
      <w:r>
        <w:rPr>
          <w:rFonts w:ascii="Times New Roman" w:hAnsi="Times New Roman" w:eastAsia="仿宋_GB2312" w:cs="Times New Roman"/>
          <w:sz w:val="32"/>
          <w:szCs w:val="32"/>
        </w:rPr>
        <w:t>功能</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试验结果</w:t>
      </w:r>
      <w:r>
        <w:rPr>
          <w:rFonts w:hint="eastAsia" w:ascii="Times New Roman" w:hAnsi="Times New Roman" w:eastAsia="仿宋_GB2312" w:cs="Times New Roman"/>
          <w:sz w:val="32"/>
          <w:szCs w:val="32"/>
        </w:rPr>
        <w:t>等。</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、验收</w:t>
      </w:r>
      <w:r>
        <w:rPr>
          <w:rFonts w:hint="eastAsia" w:ascii="Times New Roman" w:hAnsi="Times New Roman" w:eastAsia="黑体" w:cs="Times New Roman"/>
          <w:sz w:val="32"/>
          <w:szCs w:val="32"/>
          <w:lang w:eastAsia="zh-CN"/>
        </w:rPr>
        <w:t>评审</w:t>
      </w:r>
      <w:r>
        <w:rPr>
          <w:rFonts w:hint="eastAsia" w:ascii="Times New Roman" w:hAnsi="Times New Roman" w:eastAsia="黑体" w:cs="Times New Roman"/>
          <w:sz w:val="32"/>
          <w:szCs w:val="32"/>
        </w:rPr>
        <w:t>意见</w:t>
      </w:r>
    </w:p>
    <w:p>
      <w:pPr>
        <w:spacing w:line="58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（一）验收问题单情况</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按专业</w:t>
      </w:r>
      <w:r>
        <w:rPr>
          <w:rFonts w:ascii="Times New Roman" w:hAnsi="Times New Roman" w:eastAsia="仿宋_GB2312" w:cs="Times New Roman"/>
          <w:sz w:val="32"/>
          <w:szCs w:val="32"/>
        </w:rPr>
        <w:t>分组</w:t>
      </w:r>
      <w:r>
        <w:rPr>
          <w:rFonts w:hint="eastAsia"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rPr>
        <w:t>验收中</w:t>
      </w:r>
      <w:r>
        <w:rPr>
          <w:rFonts w:ascii="Times New Roman" w:hAnsi="Times New Roman" w:eastAsia="仿宋_GB2312" w:cs="Times New Roman"/>
          <w:sz w:val="32"/>
          <w:szCs w:val="32"/>
        </w:rPr>
        <w:t>发现的问题进行</w:t>
      </w:r>
      <w:r>
        <w:rPr>
          <w:rFonts w:hint="eastAsia" w:ascii="Times New Roman" w:hAnsi="Times New Roman" w:eastAsia="仿宋_GB2312" w:cs="Times New Roman"/>
          <w:sz w:val="32"/>
          <w:szCs w:val="32"/>
        </w:rPr>
        <w:t>统计</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分析</w:t>
      </w:r>
      <w:r>
        <w:rPr>
          <w:rFonts w:hint="eastAsia" w:ascii="Times New Roman" w:hAnsi="Times New Roman" w:eastAsia="仿宋_GB2312" w:cs="Times New Roman"/>
          <w:sz w:val="32"/>
          <w:szCs w:val="32"/>
        </w:rPr>
        <w:t>。</w:t>
      </w:r>
    </w:p>
    <w:p>
      <w:pPr>
        <w:spacing w:line="58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同类</w:t>
      </w:r>
      <w:r>
        <w:rPr>
          <w:rFonts w:hint="eastAsia" w:ascii="楷体_GB2312" w:hAnsi="楷体_GB2312" w:eastAsia="楷体_GB2312" w:cs="楷体_GB2312"/>
          <w:sz w:val="32"/>
          <w:szCs w:val="32"/>
        </w:rPr>
        <w:t>问题排查情况</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对验收中发现的问题，</w:t>
      </w:r>
      <w:r>
        <w:rPr>
          <w:rFonts w:ascii="Times New Roman" w:hAnsi="Times New Roman" w:eastAsia="仿宋_GB2312" w:cs="Times New Roman"/>
          <w:sz w:val="32"/>
          <w:szCs w:val="32"/>
        </w:rPr>
        <w:t>说明</w:t>
      </w:r>
      <w:r>
        <w:rPr>
          <w:rFonts w:hint="eastAsia" w:ascii="Times New Roman" w:hAnsi="Times New Roman" w:eastAsia="仿宋_GB2312" w:cs="Times New Roman"/>
          <w:sz w:val="32"/>
          <w:szCs w:val="32"/>
          <w:lang w:eastAsia="zh-CN"/>
        </w:rPr>
        <w:t>核电厂营运单位对可能存在同类问题进行</w:t>
      </w:r>
      <w:r>
        <w:rPr>
          <w:rFonts w:ascii="Times New Roman" w:hAnsi="Times New Roman" w:eastAsia="仿宋_GB2312" w:cs="Times New Roman"/>
          <w:sz w:val="32"/>
          <w:szCs w:val="32"/>
        </w:rPr>
        <w:t>排查</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情况。</w:t>
      </w:r>
    </w:p>
    <w:p>
      <w:pPr>
        <w:spacing w:line="58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（三）问题整改</w:t>
      </w:r>
      <w:r>
        <w:rPr>
          <w:rFonts w:hint="eastAsia" w:ascii="楷体_GB2312" w:hAnsi="楷体_GB2312" w:eastAsia="楷体_GB2312" w:cs="楷体_GB2312"/>
          <w:sz w:val="32"/>
          <w:szCs w:val="32"/>
          <w:lang w:eastAsia="zh-CN"/>
        </w:rPr>
        <w:t>和</w:t>
      </w:r>
      <w:r>
        <w:rPr>
          <w:rFonts w:ascii="楷体_GB2312" w:hAnsi="楷体_GB2312" w:eastAsia="楷体_GB2312" w:cs="楷体_GB2312"/>
          <w:sz w:val="32"/>
          <w:szCs w:val="32"/>
        </w:rPr>
        <w:t>关闭情况</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验收</w:t>
      </w:r>
      <w:r>
        <w:rPr>
          <w:rFonts w:hint="eastAsia" w:ascii="Times New Roman" w:hAnsi="Times New Roman" w:eastAsia="仿宋_GB2312" w:cs="Times New Roman"/>
          <w:sz w:val="32"/>
          <w:szCs w:val="32"/>
          <w:lang w:eastAsia="zh-CN"/>
        </w:rPr>
        <w:t>中发现的问题及澄清答复、现场整改及问题单关闭等情况</w:t>
      </w:r>
      <w:r>
        <w:rPr>
          <w:rFonts w:ascii="Times New Roman" w:hAnsi="Times New Roman" w:eastAsia="仿宋_GB2312" w:cs="Times New Roman"/>
          <w:sz w:val="32"/>
          <w:szCs w:val="32"/>
        </w:rPr>
        <w:t>。</w:t>
      </w:r>
    </w:p>
    <w:p>
      <w:pPr>
        <w:spacing w:line="58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）承诺整改项情况</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w:t>
      </w:r>
      <w:r>
        <w:rPr>
          <w:rFonts w:hint="eastAsia" w:ascii="Times New Roman" w:hAnsi="Times New Roman" w:eastAsia="仿宋_GB2312" w:cs="Times New Roman"/>
          <w:sz w:val="32"/>
          <w:szCs w:val="32"/>
          <w:lang w:eastAsia="zh-CN"/>
        </w:rPr>
        <w:t>企业作出的</w:t>
      </w:r>
      <w:r>
        <w:rPr>
          <w:rFonts w:hint="eastAsia" w:ascii="Times New Roman" w:hAnsi="Times New Roman" w:eastAsia="仿宋_GB2312" w:cs="Times New Roman"/>
          <w:sz w:val="32"/>
          <w:szCs w:val="32"/>
        </w:rPr>
        <w:t>整改承诺，逐项评估</w:t>
      </w:r>
      <w:r>
        <w:rPr>
          <w:rFonts w:hint="eastAsia" w:ascii="Times New Roman" w:hAnsi="Times New Roman" w:eastAsia="仿宋_GB2312" w:cs="Times New Roman"/>
          <w:sz w:val="32"/>
          <w:szCs w:val="32"/>
          <w:lang w:eastAsia="zh-CN"/>
        </w:rPr>
        <w:t>该问题是否适用于整改承诺的方式，以及</w:t>
      </w:r>
      <w:r>
        <w:rPr>
          <w:rFonts w:hint="eastAsia" w:ascii="Times New Roman" w:hAnsi="Times New Roman" w:eastAsia="仿宋_GB2312" w:cs="Times New Roman"/>
          <w:sz w:val="32"/>
          <w:szCs w:val="32"/>
        </w:rPr>
        <w:t>临时管控措施</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有效性和整改</w:t>
      </w:r>
      <w:r>
        <w:rPr>
          <w:rFonts w:hint="eastAsia" w:ascii="Times New Roman" w:hAnsi="Times New Roman" w:eastAsia="仿宋_GB2312" w:cs="Times New Roman"/>
          <w:sz w:val="32"/>
          <w:szCs w:val="32"/>
          <w:lang w:eastAsia="zh-CN"/>
        </w:rPr>
        <w:t>时限的</w:t>
      </w:r>
      <w:r>
        <w:rPr>
          <w:rFonts w:hint="eastAsia" w:ascii="Times New Roman" w:hAnsi="Times New Roman" w:eastAsia="仿宋_GB2312" w:cs="Times New Roman"/>
          <w:sz w:val="32"/>
          <w:szCs w:val="32"/>
        </w:rPr>
        <w:t>合理性</w:t>
      </w:r>
      <w:r>
        <w:rPr>
          <w:rFonts w:hint="eastAsia" w:ascii="Times New Roman" w:hAnsi="Times New Roman" w:eastAsia="仿宋_GB2312" w:cs="Times New Roman"/>
          <w:sz w:val="32"/>
          <w:szCs w:val="32"/>
          <w:lang w:eastAsia="zh-CN"/>
        </w:rPr>
        <w:t>等</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eastAsia" w:ascii="Times New Roman" w:hAnsi="Times New Roman" w:eastAsia="黑体" w:cs="Times New Roman"/>
          <w:sz w:val="32"/>
          <w:szCs w:val="32"/>
        </w:rPr>
        <w:t>、验收评审结论</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提出明确的总体性评审结论，明确核电厂消防工程设施设计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施工</w:t>
      </w:r>
      <w:r>
        <w:rPr>
          <w:rFonts w:ascii="Times New Roman" w:hAnsi="Times New Roman" w:eastAsia="仿宋_GB2312" w:cs="Times New Roman"/>
          <w:sz w:val="32"/>
          <w:szCs w:val="32"/>
        </w:rPr>
        <w:t>安装、</w:t>
      </w:r>
      <w:r>
        <w:rPr>
          <w:rFonts w:hint="eastAsia" w:ascii="Times New Roman" w:hAnsi="Times New Roman" w:eastAsia="仿宋_GB2312" w:cs="Times New Roman"/>
          <w:sz w:val="32"/>
          <w:szCs w:val="32"/>
        </w:rPr>
        <w:t>设备检验和系统</w:t>
      </w:r>
      <w:r>
        <w:rPr>
          <w:rFonts w:ascii="Times New Roman" w:hAnsi="Times New Roman" w:eastAsia="仿宋_GB2312" w:cs="Times New Roman"/>
          <w:sz w:val="32"/>
          <w:szCs w:val="32"/>
        </w:rPr>
        <w:t>调试</w:t>
      </w:r>
      <w:r>
        <w:rPr>
          <w:rFonts w:hint="eastAsia" w:ascii="Times New Roman" w:hAnsi="Times New Roman" w:eastAsia="仿宋_GB2312" w:cs="Times New Roman"/>
          <w:sz w:val="32"/>
          <w:szCs w:val="32"/>
        </w:rPr>
        <w:t>检测</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是否符合国家相关法规标准的要求，是否同</w:t>
      </w:r>
      <w:r>
        <w:rPr>
          <w:rFonts w:ascii="Times New Roman" w:hAnsi="Times New Roman" w:eastAsia="仿宋_GB2312" w:cs="Times New Roman"/>
          <w:sz w:val="32"/>
          <w:szCs w:val="32"/>
        </w:rPr>
        <w:t>经审查的设计变更和施工图设计</w:t>
      </w:r>
      <w:r>
        <w:rPr>
          <w:rFonts w:hint="eastAsia" w:ascii="Times New Roman" w:hAnsi="Times New Roman" w:eastAsia="仿宋_GB2312" w:cs="Times New Roman"/>
          <w:sz w:val="32"/>
          <w:szCs w:val="32"/>
        </w:rPr>
        <w:t>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消防</w:t>
      </w:r>
      <w:r>
        <w:rPr>
          <w:rFonts w:ascii="Times New Roman" w:hAnsi="Times New Roman" w:eastAsia="仿宋_GB2312" w:cs="Times New Roman"/>
          <w:sz w:val="32"/>
          <w:szCs w:val="32"/>
        </w:rPr>
        <w:t>系统</w:t>
      </w:r>
      <w:r>
        <w:rPr>
          <w:rFonts w:hint="eastAsia" w:ascii="Times New Roman" w:hAnsi="Times New Roman" w:eastAsia="仿宋_GB2312" w:cs="Times New Roman"/>
          <w:sz w:val="32"/>
          <w:szCs w:val="32"/>
        </w:rPr>
        <w:t>功能是否</w:t>
      </w:r>
      <w:r>
        <w:rPr>
          <w:rFonts w:ascii="Times New Roman" w:hAnsi="Times New Roman" w:eastAsia="仿宋_GB2312" w:cs="Times New Roman"/>
          <w:sz w:val="32"/>
          <w:szCs w:val="32"/>
        </w:rPr>
        <w:t>满足核电厂运行安全有关要求，</w:t>
      </w:r>
      <w:r>
        <w:rPr>
          <w:rFonts w:hint="eastAsia" w:ascii="Times New Roman" w:hAnsi="Times New Roman" w:eastAsia="仿宋_GB2312" w:cs="Times New Roman"/>
          <w:sz w:val="32"/>
          <w:szCs w:val="32"/>
        </w:rPr>
        <w:t>评审是否通过等结论等。</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附表：1．核电厂消防验收评审专家组名单</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2．核电厂消防验收记录表</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3．核电厂消防验收问题单</w:t>
      </w:r>
    </w:p>
    <w:p>
      <w:pPr>
        <w:spacing w:line="588" w:lineRule="exact"/>
        <w:ind w:firstLine="640" w:firstLineChars="200"/>
        <w:rPr>
          <w:rFonts w:ascii="Times New Roman" w:hAnsi="Times New Roman" w:eastAsia="仿宋_GB2312" w:cs="Times New Roman"/>
          <w:sz w:val="32"/>
          <w:szCs w:val="32"/>
        </w:rPr>
        <w:sectPr>
          <w:pgSz w:w="11906" w:h="16838"/>
          <w:pgMar w:top="1985" w:right="1616" w:bottom="1814" w:left="1616" w:header="851" w:footer="992" w:gutter="0"/>
          <w:pgNumType w:fmt="numberInDash"/>
          <w:cols w:space="425" w:num="1"/>
          <w:docGrid w:type="lines" w:linePitch="312" w:charSpace="0"/>
        </w:sectPr>
      </w:pPr>
      <w:r>
        <w:rPr>
          <w:rFonts w:hint="eastAsia" w:ascii="Times New Roman" w:hAnsi="Times New Roman" w:eastAsia="仿宋_GB2312" w:cs="Times New Roman"/>
          <w:sz w:val="32"/>
          <w:szCs w:val="32"/>
        </w:rPr>
        <w:t xml:space="preserve">      4．核电厂消防验收问题整改承诺项清单</w:t>
      </w:r>
    </w:p>
    <w:p>
      <w:pPr>
        <w:tabs>
          <w:tab w:val="left" w:pos="924"/>
        </w:tabs>
        <w:jc w:val="left"/>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rPr>
        <w:t>附表</w:t>
      </w:r>
      <w:r>
        <w:rPr>
          <w:rFonts w:hint="eastAsia" w:ascii="Times New Roman" w:hAnsi="Times New Roman" w:eastAsia="黑体" w:cs="Times New Roman"/>
          <w:sz w:val="32"/>
          <w:szCs w:val="32"/>
          <w:lang w:val="en-US" w:eastAsia="zh-CN"/>
        </w:rPr>
        <w:t>1</w:t>
      </w:r>
    </w:p>
    <w:p>
      <w:pPr>
        <w:tabs>
          <w:tab w:val="left" w:pos="924"/>
        </w:tabs>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核电厂消防验收</w:t>
      </w:r>
      <w:r>
        <w:rPr>
          <w:rFonts w:hint="eastAsia" w:ascii="方正小标宋简体" w:hAnsi="方正小标宋简体" w:eastAsia="方正小标宋简体" w:cs="方正小标宋简体"/>
          <w:sz w:val="32"/>
          <w:szCs w:val="32"/>
        </w:rPr>
        <w:t>评审专家组名单</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4"/>
        <w:gridCol w:w="998"/>
        <w:gridCol w:w="1136"/>
        <w:gridCol w:w="2682"/>
        <w:gridCol w:w="1525"/>
        <w:gridCol w:w="1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998"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1136"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682"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w:t>
            </w:r>
          </w:p>
        </w:tc>
        <w:tc>
          <w:tcPr>
            <w:tcW w:w="1525"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职务/职称</w:t>
            </w:r>
          </w:p>
        </w:tc>
        <w:tc>
          <w:tcPr>
            <w:tcW w:w="1525"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4" w:type="dxa"/>
            <w:vAlign w:val="top"/>
          </w:tcPr>
          <w:p>
            <w:pPr>
              <w:tabs>
                <w:tab w:val="left" w:pos="924"/>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998" w:type="dxa"/>
            <w:vAlign w:val="top"/>
          </w:tcPr>
          <w:p>
            <w:pPr>
              <w:tabs>
                <w:tab w:val="left" w:pos="924"/>
              </w:tabs>
              <w:jc w:val="center"/>
              <w:rPr>
                <w:rFonts w:hint="eastAsia" w:ascii="仿宋_GB2312" w:hAnsi="仿宋_GB2312" w:eastAsia="仿宋_GB2312" w:cs="仿宋_GB2312"/>
                <w:sz w:val="28"/>
                <w:szCs w:val="28"/>
              </w:rPr>
            </w:pPr>
          </w:p>
        </w:tc>
        <w:tc>
          <w:tcPr>
            <w:tcW w:w="1136" w:type="dxa"/>
            <w:vAlign w:val="top"/>
          </w:tcPr>
          <w:p>
            <w:pPr>
              <w:tabs>
                <w:tab w:val="left" w:pos="924"/>
              </w:tabs>
              <w:jc w:val="center"/>
              <w:rPr>
                <w:rFonts w:hint="eastAsia" w:ascii="仿宋_GB2312" w:hAnsi="仿宋_GB2312" w:eastAsia="仿宋_GB2312" w:cs="仿宋_GB2312"/>
                <w:sz w:val="28"/>
                <w:szCs w:val="28"/>
              </w:rPr>
            </w:pPr>
          </w:p>
        </w:tc>
        <w:tc>
          <w:tcPr>
            <w:tcW w:w="2682"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c>
          <w:tcPr>
            <w:tcW w:w="1525" w:type="dxa"/>
            <w:vAlign w:val="top"/>
          </w:tcPr>
          <w:p>
            <w:pPr>
              <w:tabs>
                <w:tab w:val="left" w:pos="924"/>
              </w:tabs>
              <w:jc w:val="center"/>
              <w:rPr>
                <w:rFonts w:hint="eastAsia" w:ascii="仿宋_GB2312" w:hAnsi="仿宋_GB2312" w:eastAsia="仿宋_GB2312" w:cs="仿宋_GB2312"/>
                <w:sz w:val="28"/>
                <w:szCs w:val="28"/>
              </w:rPr>
            </w:pPr>
          </w:p>
        </w:tc>
      </w:tr>
    </w:tbl>
    <w:p>
      <w:pPr>
        <w:tabs>
          <w:tab w:val="left" w:pos="924"/>
        </w:tabs>
        <w:rPr>
          <w:rFonts w:ascii="方正小标宋_GBK" w:hAnsi="Times New Roman" w:eastAsia="方正小标宋_GBK" w:cs="Times New Roman"/>
          <w:sz w:val="32"/>
          <w:szCs w:val="32"/>
        </w:rPr>
        <w:sectPr>
          <w:pgSz w:w="11906" w:h="16838"/>
          <w:pgMar w:top="1418" w:right="1701" w:bottom="1418" w:left="1701" w:header="851" w:footer="992" w:gutter="0"/>
          <w:pgNumType w:fmt="numberInDash"/>
          <w:cols w:space="425" w:num="1"/>
          <w:docGrid w:type="lines" w:linePitch="312" w:charSpace="0"/>
        </w:sectPr>
      </w:pPr>
    </w:p>
    <w:p>
      <w:pPr>
        <w:spacing w:line="440" w:lineRule="exact"/>
        <w:jc w:val="left"/>
        <w:rPr>
          <w:rFonts w:hint="eastAsia" w:ascii="黑体" w:hAnsi="黑体" w:eastAsia="黑体" w:cs="黑体"/>
          <w:sz w:val="32"/>
          <w:szCs w:val="32"/>
          <w:lang w:eastAsia="zh-CN"/>
        </w:rPr>
      </w:pPr>
      <w:r>
        <w:rPr>
          <w:rFonts w:hint="eastAsia" w:ascii="黑体" w:hAnsi="黑体" w:eastAsia="黑体" w:cs="黑体"/>
          <w:sz w:val="32"/>
          <w:szCs w:val="32"/>
        </w:rPr>
        <w:t>附表</w:t>
      </w:r>
      <w:r>
        <w:rPr>
          <w:rFonts w:hint="eastAsia" w:ascii="黑体" w:hAnsi="黑体" w:eastAsia="黑体" w:cs="黑体"/>
          <w:sz w:val="32"/>
          <w:szCs w:val="32"/>
          <w:lang w:val="en-US" w:eastAsia="zh-CN"/>
        </w:rPr>
        <w:t>2</w:t>
      </w:r>
    </w:p>
    <w:p>
      <w:pPr>
        <w:spacing w:line="4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核电厂消防验收记录表</w:t>
      </w:r>
    </w:p>
    <w:tbl>
      <w:tblPr>
        <w:tblStyle w:val="8"/>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425"/>
        <w:gridCol w:w="709"/>
        <w:gridCol w:w="1418"/>
        <w:gridCol w:w="992"/>
        <w:gridCol w:w="1278"/>
        <w:gridCol w:w="1559"/>
        <w:gridCol w:w="281"/>
        <w:gridCol w:w="853"/>
        <w:gridCol w:w="1134"/>
        <w:gridCol w:w="1559"/>
        <w:gridCol w:w="2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1951"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工程名称</w:t>
            </w:r>
          </w:p>
        </w:tc>
        <w:tc>
          <w:tcPr>
            <w:tcW w:w="3544" w:type="dxa"/>
            <w:gridSpan w:val="4"/>
          </w:tcPr>
          <w:p>
            <w:pPr>
              <w:spacing w:line="360" w:lineRule="auto"/>
              <w:rPr>
                <w:rFonts w:ascii="Times New Roman" w:hAnsi="Times New Roman" w:eastAsia="仿宋_GB2312" w:cs="Times New Roman"/>
                <w:sz w:val="24"/>
                <w:szCs w:val="24"/>
              </w:rPr>
            </w:pPr>
          </w:p>
        </w:tc>
        <w:tc>
          <w:tcPr>
            <w:tcW w:w="1278"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评审单位</w:t>
            </w:r>
          </w:p>
        </w:tc>
        <w:tc>
          <w:tcPr>
            <w:tcW w:w="3827" w:type="dxa"/>
            <w:gridSpan w:val="4"/>
          </w:tcPr>
          <w:p>
            <w:pPr>
              <w:spacing w:line="360" w:lineRule="auto"/>
              <w:rPr>
                <w:rFonts w:ascii="Times New Roman" w:hAnsi="Times New Roman" w:eastAsia="仿宋_GB2312" w:cs="Times New Roman"/>
                <w:sz w:val="24"/>
                <w:szCs w:val="24"/>
              </w:rPr>
            </w:pPr>
          </w:p>
        </w:tc>
        <w:tc>
          <w:tcPr>
            <w:tcW w:w="1559"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验收日期</w:t>
            </w:r>
          </w:p>
        </w:tc>
        <w:tc>
          <w:tcPr>
            <w:tcW w:w="2015" w:type="dxa"/>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核电厂营运单位</w:t>
            </w:r>
          </w:p>
        </w:tc>
        <w:tc>
          <w:tcPr>
            <w:tcW w:w="3544" w:type="dxa"/>
            <w:gridSpan w:val="4"/>
          </w:tcPr>
          <w:p>
            <w:pPr>
              <w:spacing w:line="360" w:lineRule="auto"/>
              <w:rPr>
                <w:rFonts w:ascii="Times New Roman" w:hAnsi="Times New Roman" w:eastAsia="仿宋_GB2312" w:cs="Times New Roman"/>
                <w:sz w:val="24"/>
                <w:szCs w:val="24"/>
              </w:rPr>
            </w:pPr>
          </w:p>
        </w:tc>
        <w:tc>
          <w:tcPr>
            <w:tcW w:w="1278"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验收组长</w:t>
            </w:r>
          </w:p>
        </w:tc>
        <w:tc>
          <w:tcPr>
            <w:tcW w:w="1559" w:type="dxa"/>
          </w:tcPr>
          <w:p>
            <w:pPr>
              <w:spacing w:line="360" w:lineRule="auto"/>
              <w:rPr>
                <w:rFonts w:ascii="Times New Roman" w:hAnsi="Times New Roman" w:eastAsia="仿宋_GB2312" w:cs="Times New Roman"/>
                <w:sz w:val="24"/>
                <w:szCs w:val="24"/>
              </w:rPr>
            </w:pPr>
          </w:p>
        </w:tc>
        <w:tc>
          <w:tcPr>
            <w:tcW w:w="1134" w:type="dxa"/>
            <w:gridSpan w:val="2"/>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联系人</w:t>
            </w:r>
          </w:p>
        </w:tc>
        <w:tc>
          <w:tcPr>
            <w:tcW w:w="1134" w:type="dxa"/>
          </w:tcPr>
          <w:p>
            <w:pPr>
              <w:spacing w:line="360" w:lineRule="auto"/>
              <w:rPr>
                <w:rFonts w:ascii="Times New Roman" w:hAnsi="Times New Roman" w:eastAsia="仿宋_GB2312" w:cs="Times New Roman"/>
                <w:sz w:val="24"/>
                <w:szCs w:val="24"/>
              </w:rPr>
            </w:pPr>
          </w:p>
        </w:tc>
        <w:tc>
          <w:tcPr>
            <w:tcW w:w="1559"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联系电话</w:t>
            </w:r>
          </w:p>
        </w:tc>
        <w:tc>
          <w:tcPr>
            <w:tcW w:w="2015" w:type="dxa"/>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机组</w:t>
            </w:r>
          </w:p>
        </w:tc>
        <w:tc>
          <w:tcPr>
            <w:tcW w:w="1134" w:type="dxa"/>
            <w:gridSpan w:val="2"/>
            <w:tcBorders>
              <w:right w:val="single" w:color="auto" w:sz="4" w:space="0"/>
            </w:tcBorders>
          </w:tcPr>
          <w:p>
            <w:pPr>
              <w:spacing w:line="360" w:lineRule="auto"/>
              <w:rPr>
                <w:rFonts w:ascii="Times New Roman" w:hAnsi="Times New Roman" w:eastAsia="仿宋_GB2312" w:cs="Times New Roman"/>
                <w:sz w:val="24"/>
                <w:szCs w:val="24"/>
              </w:rPr>
            </w:pPr>
          </w:p>
        </w:tc>
        <w:tc>
          <w:tcPr>
            <w:tcW w:w="1418" w:type="dxa"/>
            <w:tcBorders>
              <w:left w:val="single" w:color="auto" w:sz="4" w:space="0"/>
              <w:right w:val="single" w:color="auto" w:sz="4" w:space="0"/>
            </w:tcBorders>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建筑名称</w:t>
            </w:r>
          </w:p>
        </w:tc>
        <w:tc>
          <w:tcPr>
            <w:tcW w:w="2270" w:type="dxa"/>
            <w:gridSpan w:val="2"/>
            <w:tcBorders>
              <w:left w:val="single" w:color="auto" w:sz="4" w:space="0"/>
            </w:tcBorders>
          </w:tcPr>
          <w:p>
            <w:pPr>
              <w:spacing w:line="360" w:lineRule="auto"/>
              <w:rPr>
                <w:rFonts w:ascii="Times New Roman" w:hAnsi="Times New Roman" w:eastAsia="仿宋_GB2312" w:cs="Times New Roman"/>
                <w:sz w:val="24"/>
                <w:szCs w:val="24"/>
              </w:rPr>
            </w:pPr>
          </w:p>
        </w:tc>
        <w:tc>
          <w:tcPr>
            <w:tcW w:w="7401" w:type="dxa"/>
            <w:gridSpan w:val="6"/>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消防验收意见：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95" w:type="dxa"/>
            <w:gridSpan w:val="5"/>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单项名称</w:t>
            </w:r>
          </w:p>
        </w:tc>
        <w:tc>
          <w:tcPr>
            <w:tcW w:w="127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评审结论</w:t>
            </w:r>
          </w:p>
        </w:tc>
        <w:tc>
          <w:tcPr>
            <w:tcW w:w="7401" w:type="dxa"/>
            <w:gridSpan w:val="6"/>
            <w:vMerge w:val="restart"/>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□建筑类别、耐火等级、总平面布局或平面布置</w:t>
            </w:r>
          </w:p>
        </w:tc>
        <w:tc>
          <w:tcPr>
            <w:tcW w:w="1278" w:type="dxa"/>
          </w:tcPr>
          <w:p>
            <w:pPr>
              <w:spacing w:line="360" w:lineRule="auto"/>
              <w:rPr>
                <w:rFonts w:ascii="Times New Roman" w:hAnsi="Times New Roman" w:eastAsia="仿宋_GB2312" w:cs="Times New Roman"/>
                <w:sz w:val="24"/>
                <w:szCs w:val="24"/>
              </w:rPr>
            </w:pPr>
          </w:p>
        </w:tc>
        <w:tc>
          <w:tcPr>
            <w:tcW w:w="7401" w:type="dxa"/>
            <w:gridSpan w:val="6"/>
            <w:vMerge w:val="continue"/>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□建筑保温及外墙装饰防火、建筑内部装修防火</w:t>
            </w:r>
          </w:p>
        </w:tc>
        <w:tc>
          <w:tcPr>
            <w:tcW w:w="1278" w:type="dxa"/>
          </w:tcPr>
          <w:p>
            <w:pPr>
              <w:spacing w:line="360" w:lineRule="auto"/>
              <w:rPr>
                <w:rFonts w:ascii="Times New Roman" w:hAnsi="Times New Roman" w:eastAsia="仿宋_GB2312" w:cs="Times New Roman"/>
                <w:sz w:val="24"/>
                <w:szCs w:val="24"/>
              </w:rPr>
            </w:pPr>
          </w:p>
        </w:tc>
        <w:tc>
          <w:tcPr>
            <w:tcW w:w="7401" w:type="dxa"/>
            <w:gridSpan w:val="6"/>
            <w:vMerge w:val="continue"/>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□防火防烟分隔、防爆</w:t>
            </w:r>
          </w:p>
        </w:tc>
        <w:tc>
          <w:tcPr>
            <w:tcW w:w="1278" w:type="dxa"/>
          </w:tcPr>
          <w:p>
            <w:pPr>
              <w:spacing w:line="360" w:lineRule="auto"/>
              <w:rPr>
                <w:rFonts w:ascii="Times New Roman" w:hAnsi="Times New Roman" w:eastAsia="仿宋_GB2312" w:cs="Times New Roman"/>
                <w:szCs w:val="21"/>
              </w:rPr>
            </w:pPr>
          </w:p>
        </w:tc>
        <w:tc>
          <w:tcPr>
            <w:tcW w:w="7401" w:type="dxa"/>
            <w:gridSpan w:val="6"/>
            <w:vMerge w:val="continue"/>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□安全疏散与消防电梯</w:t>
            </w:r>
          </w:p>
        </w:tc>
        <w:tc>
          <w:tcPr>
            <w:tcW w:w="1278" w:type="dxa"/>
          </w:tcPr>
          <w:p>
            <w:pPr>
              <w:spacing w:line="360" w:lineRule="auto"/>
              <w:rPr>
                <w:rFonts w:ascii="Times New Roman" w:hAnsi="Times New Roman" w:eastAsia="仿宋_GB2312" w:cs="Times New Roman"/>
                <w:szCs w:val="21"/>
              </w:rPr>
            </w:pPr>
          </w:p>
        </w:tc>
        <w:tc>
          <w:tcPr>
            <w:tcW w:w="7401" w:type="dxa"/>
            <w:gridSpan w:val="6"/>
            <w:vMerge w:val="continue"/>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□消防水生产系统</w:t>
            </w:r>
          </w:p>
        </w:tc>
        <w:tc>
          <w:tcPr>
            <w:tcW w:w="1278" w:type="dxa"/>
          </w:tcPr>
          <w:p>
            <w:pPr>
              <w:spacing w:line="360" w:lineRule="auto"/>
              <w:rPr>
                <w:rFonts w:ascii="Times New Roman" w:hAnsi="Times New Roman" w:eastAsia="仿宋_GB2312" w:cs="Times New Roman"/>
                <w:szCs w:val="21"/>
              </w:rPr>
            </w:pPr>
          </w:p>
        </w:tc>
        <w:tc>
          <w:tcPr>
            <w:tcW w:w="7401" w:type="dxa"/>
            <w:gridSpan w:val="6"/>
            <w:vMerge w:val="continue"/>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□灭火系统（包括消火栓、自动喷水、泡沫、气体灭火等）</w:t>
            </w:r>
          </w:p>
        </w:tc>
        <w:tc>
          <w:tcPr>
            <w:tcW w:w="1278" w:type="dxa"/>
          </w:tcPr>
          <w:p>
            <w:pPr>
              <w:spacing w:line="360" w:lineRule="auto"/>
              <w:rPr>
                <w:rFonts w:ascii="Times New Roman" w:hAnsi="Times New Roman" w:eastAsia="仿宋_GB2312" w:cs="Times New Roman"/>
                <w:szCs w:val="21"/>
              </w:rPr>
            </w:pPr>
          </w:p>
        </w:tc>
        <w:tc>
          <w:tcPr>
            <w:tcW w:w="7401" w:type="dxa"/>
            <w:gridSpan w:val="6"/>
            <w:vMerge w:val="continue"/>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□火灾自动报警系统</w:t>
            </w:r>
          </w:p>
        </w:tc>
        <w:tc>
          <w:tcPr>
            <w:tcW w:w="1278" w:type="dxa"/>
          </w:tcPr>
          <w:p>
            <w:pPr>
              <w:spacing w:line="360" w:lineRule="auto"/>
              <w:rPr>
                <w:rFonts w:ascii="Times New Roman" w:hAnsi="Times New Roman" w:eastAsia="仿宋_GB2312" w:cs="Times New Roman"/>
                <w:szCs w:val="21"/>
              </w:rPr>
            </w:pPr>
          </w:p>
        </w:tc>
        <w:tc>
          <w:tcPr>
            <w:tcW w:w="7401" w:type="dxa"/>
            <w:gridSpan w:val="6"/>
            <w:vMerge w:val="continue"/>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□防烟排烟系统及通风、空调系统防火</w:t>
            </w:r>
          </w:p>
        </w:tc>
        <w:tc>
          <w:tcPr>
            <w:tcW w:w="1278" w:type="dxa"/>
          </w:tcPr>
          <w:p>
            <w:pPr>
              <w:spacing w:line="360" w:lineRule="auto"/>
              <w:rPr>
                <w:rFonts w:ascii="Times New Roman" w:hAnsi="Times New Roman" w:eastAsia="仿宋_GB2312" w:cs="Times New Roman"/>
                <w:szCs w:val="21"/>
              </w:rPr>
            </w:pPr>
          </w:p>
        </w:tc>
        <w:tc>
          <w:tcPr>
            <w:tcW w:w="7401" w:type="dxa"/>
            <w:gridSpan w:val="6"/>
            <w:vMerge w:val="continue"/>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□消防电气</w:t>
            </w:r>
          </w:p>
        </w:tc>
        <w:tc>
          <w:tcPr>
            <w:tcW w:w="1278" w:type="dxa"/>
          </w:tcPr>
          <w:p>
            <w:pPr>
              <w:spacing w:line="360" w:lineRule="auto"/>
              <w:rPr>
                <w:rFonts w:ascii="Times New Roman" w:hAnsi="Times New Roman" w:eastAsia="仿宋_GB2312" w:cs="Times New Roman"/>
                <w:szCs w:val="21"/>
              </w:rPr>
            </w:pPr>
          </w:p>
        </w:tc>
        <w:tc>
          <w:tcPr>
            <w:tcW w:w="7401" w:type="dxa"/>
            <w:gridSpan w:val="6"/>
            <w:vMerge w:val="continue"/>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□建筑灭火器</w:t>
            </w:r>
          </w:p>
        </w:tc>
        <w:tc>
          <w:tcPr>
            <w:tcW w:w="1278" w:type="dxa"/>
          </w:tcPr>
          <w:p>
            <w:pPr>
              <w:spacing w:line="360" w:lineRule="auto"/>
              <w:rPr>
                <w:rFonts w:ascii="Times New Roman" w:hAnsi="Times New Roman" w:eastAsia="仿宋_GB2312" w:cs="Times New Roman"/>
                <w:szCs w:val="21"/>
              </w:rPr>
            </w:pPr>
          </w:p>
        </w:tc>
        <w:tc>
          <w:tcPr>
            <w:tcW w:w="7401" w:type="dxa"/>
            <w:gridSpan w:val="6"/>
            <w:vMerge w:val="continue"/>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495" w:type="dxa"/>
            <w:gridSpan w:val="5"/>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□消防验收资料审查</w:t>
            </w:r>
          </w:p>
        </w:tc>
        <w:tc>
          <w:tcPr>
            <w:tcW w:w="1278" w:type="dxa"/>
          </w:tcPr>
          <w:p>
            <w:pPr>
              <w:spacing w:line="360" w:lineRule="auto"/>
              <w:rPr>
                <w:rFonts w:ascii="Times New Roman" w:hAnsi="Times New Roman" w:eastAsia="仿宋_GB2312" w:cs="Times New Roman"/>
                <w:szCs w:val="21"/>
              </w:rPr>
            </w:pPr>
          </w:p>
        </w:tc>
        <w:tc>
          <w:tcPr>
            <w:tcW w:w="7401" w:type="dxa"/>
            <w:gridSpan w:val="6"/>
            <w:vMerge w:val="continue"/>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exact"/>
        </w:trPr>
        <w:tc>
          <w:tcPr>
            <w:tcW w:w="2376" w:type="dxa"/>
            <w:gridSpan w:val="2"/>
            <w:vAlign w:val="center"/>
          </w:tcPr>
          <w:p>
            <w:pPr>
              <w:spacing w:line="288"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核电厂营运单位代表签字</w:t>
            </w:r>
          </w:p>
        </w:tc>
        <w:tc>
          <w:tcPr>
            <w:tcW w:w="4397" w:type="dxa"/>
            <w:gridSpan w:val="4"/>
            <w:vAlign w:val="center"/>
          </w:tcPr>
          <w:p>
            <w:pPr>
              <w:spacing w:line="360" w:lineRule="auto"/>
              <w:jc w:val="center"/>
              <w:rPr>
                <w:rFonts w:ascii="Times New Roman" w:hAnsi="Times New Roman" w:eastAsia="仿宋_GB2312" w:cs="Times New Roman"/>
                <w:sz w:val="24"/>
                <w:szCs w:val="24"/>
              </w:rPr>
            </w:pPr>
          </w:p>
        </w:tc>
        <w:tc>
          <w:tcPr>
            <w:tcW w:w="1840" w:type="dxa"/>
            <w:gridSpan w:val="2"/>
            <w:vAlign w:val="center"/>
          </w:tcPr>
          <w:p>
            <w:pPr>
              <w:spacing w:line="288"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验收专家组长签字</w:t>
            </w:r>
          </w:p>
        </w:tc>
        <w:tc>
          <w:tcPr>
            <w:tcW w:w="5561" w:type="dxa"/>
            <w:gridSpan w:val="4"/>
          </w:tcPr>
          <w:p>
            <w:pPr>
              <w:spacing w:line="360" w:lineRule="auto"/>
              <w:rPr>
                <w:rFonts w:ascii="Times New Roman" w:hAnsi="Times New Roman" w:eastAsia="仿宋_GB2312" w:cs="Times New Roman"/>
                <w:sz w:val="24"/>
                <w:szCs w:val="24"/>
              </w:rPr>
            </w:pPr>
          </w:p>
        </w:tc>
      </w:tr>
    </w:tbl>
    <w:p>
      <w:pPr>
        <w:spacing w:line="360" w:lineRule="auto"/>
        <w:rPr>
          <w:rFonts w:ascii="Times New Roman" w:hAnsi="Times New Roman" w:eastAsia="仿宋_GB2312" w:cs="Times New Roman"/>
          <w:sz w:val="28"/>
          <w:szCs w:val="28"/>
        </w:rPr>
        <w:sectPr>
          <w:pgSz w:w="16838" w:h="11906" w:orient="landscape"/>
          <w:pgMar w:top="1701" w:right="1418" w:bottom="1417" w:left="1418" w:header="851" w:footer="992" w:gutter="0"/>
          <w:pgNumType w:fmt="numberInDash"/>
          <w:cols w:space="425" w:num="1"/>
          <w:docGrid w:type="lines" w:linePitch="312" w:charSpace="0"/>
        </w:sectPr>
      </w:pPr>
    </w:p>
    <w:p>
      <w:pPr>
        <w:spacing w:after="156" w:afterLines="50" w:line="360" w:lineRule="auto"/>
        <w:jc w:val="left"/>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rPr>
        <w:t>附表</w:t>
      </w:r>
      <w:r>
        <w:rPr>
          <w:rFonts w:hint="eastAsia" w:ascii="Times New Roman" w:hAnsi="Times New Roman" w:eastAsia="黑体" w:cs="Times New Roman"/>
          <w:sz w:val="32"/>
          <w:szCs w:val="32"/>
          <w:lang w:val="en-US" w:eastAsia="zh-CN"/>
        </w:rPr>
        <w:t>3</w:t>
      </w:r>
    </w:p>
    <w:p>
      <w:pPr>
        <w:spacing w:after="156" w:afterLines="50" w:line="360" w:lineRule="auto"/>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核电厂消防验收问题单</w:t>
      </w:r>
    </w:p>
    <w:tbl>
      <w:tblPr>
        <w:tblStyle w:val="7"/>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779"/>
        <w:gridCol w:w="1876"/>
        <w:gridCol w:w="300"/>
        <w:gridCol w:w="1754"/>
        <w:gridCol w:w="2266"/>
        <w:gridCol w:w="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问题单编号</w:t>
            </w:r>
          </w:p>
        </w:tc>
        <w:tc>
          <w:tcPr>
            <w:tcW w:w="365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433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第</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页</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共</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09" w:hRule="atLeast"/>
          <w:jc w:val="center"/>
        </w:trPr>
        <w:tc>
          <w:tcPr>
            <w:tcW w:w="1480" w:type="dxa"/>
            <w:vAlign w:val="center"/>
          </w:tcPr>
          <w:p>
            <w:pPr>
              <w:spacing w:line="48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rPr>
              <w:t>问题</w:t>
            </w:r>
            <w:r>
              <w:rPr>
                <w:rFonts w:hint="eastAsia" w:ascii="Times New Roman" w:hAnsi="Times New Roman" w:eastAsia="仿宋_GB2312" w:cs="Times New Roman"/>
                <w:sz w:val="24"/>
                <w:szCs w:val="24"/>
                <w:lang w:eastAsia="zh-CN"/>
              </w:rPr>
              <w:t>名称</w:t>
            </w:r>
          </w:p>
        </w:tc>
        <w:tc>
          <w:tcPr>
            <w:tcW w:w="7981" w:type="dxa"/>
            <w:gridSpan w:val="6"/>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663" w:hRule="atLeast"/>
          <w:jc w:val="center"/>
        </w:trPr>
        <w:tc>
          <w:tcPr>
            <w:tcW w:w="148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问题</w:t>
            </w:r>
            <w:r>
              <w:rPr>
                <w:rFonts w:hint="eastAsia" w:ascii="Times New Roman" w:hAnsi="Times New Roman" w:eastAsia="仿宋_GB2312" w:cs="Times New Roman"/>
                <w:sz w:val="24"/>
                <w:szCs w:val="24"/>
                <w:lang w:eastAsia="zh-CN"/>
              </w:rPr>
              <w:t>描述</w:t>
            </w:r>
          </w:p>
        </w:tc>
        <w:tc>
          <w:tcPr>
            <w:tcW w:w="7981" w:type="dxa"/>
            <w:gridSpan w:val="6"/>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3" w:type="dxa"/>
          <w:trHeight w:val="608" w:hRule="exact"/>
          <w:jc w:val="center"/>
        </w:trPr>
        <w:tc>
          <w:tcPr>
            <w:tcW w:w="148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专业机构</w:t>
            </w:r>
          </w:p>
        </w:tc>
        <w:tc>
          <w:tcPr>
            <w:tcW w:w="1779"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签字</w:t>
            </w:r>
          </w:p>
        </w:tc>
        <w:tc>
          <w:tcPr>
            <w:tcW w:w="2176" w:type="dxa"/>
            <w:gridSpan w:val="2"/>
            <w:vAlign w:val="center"/>
          </w:tcPr>
          <w:p>
            <w:pPr>
              <w:spacing w:line="480" w:lineRule="exact"/>
              <w:jc w:val="center"/>
              <w:rPr>
                <w:rFonts w:ascii="Times New Roman" w:hAnsi="Times New Roman" w:eastAsia="仿宋_GB2312" w:cs="Times New Roman"/>
                <w:sz w:val="24"/>
                <w:szCs w:val="24"/>
              </w:rPr>
            </w:pPr>
          </w:p>
        </w:tc>
        <w:tc>
          <w:tcPr>
            <w:tcW w:w="1754"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c>
          <w:tcPr>
            <w:tcW w:w="2266" w:type="dxa"/>
            <w:vAlign w:val="center"/>
          </w:tcPr>
          <w:p>
            <w:pPr>
              <w:spacing w:line="4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3" w:type="dxa"/>
          <w:trHeight w:val="3143" w:hRule="exact"/>
          <w:jc w:val="center"/>
        </w:trPr>
        <w:tc>
          <w:tcPr>
            <w:tcW w:w="1480"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整改落实</w:t>
            </w:r>
          </w:p>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情况</w:t>
            </w:r>
          </w:p>
        </w:tc>
        <w:tc>
          <w:tcPr>
            <w:tcW w:w="7975" w:type="dxa"/>
            <w:gridSpan w:val="5"/>
            <w:vAlign w:val="center"/>
          </w:tcPr>
          <w:p>
            <w:pPr>
              <w:spacing w:line="4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3" w:type="dxa"/>
          <w:trHeight w:val="608" w:hRule="exact"/>
          <w:jc w:val="center"/>
        </w:trPr>
        <w:tc>
          <w:tcPr>
            <w:tcW w:w="148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营运单位</w:t>
            </w:r>
          </w:p>
        </w:tc>
        <w:tc>
          <w:tcPr>
            <w:tcW w:w="1779"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签字</w:t>
            </w:r>
          </w:p>
        </w:tc>
        <w:tc>
          <w:tcPr>
            <w:tcW w:w="2176" w:type="dxa"/>
            <w:gridSpan w:val="2"/>
            <w:vAlign w:val="center"/>
          </w:tcPr>
          <w:p>
            <w:pPr>
              <w:spacing w:line="480" w:lineRule="exact"/>
              <w:jc w:val="center"/>
              <w:rPr>
                <w:rFonts w:ascii="Times New Roman" w:hAnsi="Times New Roman" w:eastAsia="仿宋_GB2312" w:cs="Times New Roman"/>
                <w:sz w:val="24"/>
                <w:szCs w:val="24"/>
              </w:rPr>
            </w:pPr>
          </w:p>
        </w:tc>
        <w:tc>
          <w:tcPr>
            <w:tcW w:w="1754"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c>
          <w:tcPr>
            <w:tcW w:w="2266" w:type="dxa"/>
            <w:vAlign w:val="center"/>
          </w:tcPr>
          <w:p>
            <w:pPr>
              <w:spacing w:line="4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3" w:type="dxa"/>
          <w:trHeight w:val="608" w:hRule="exact"/>
          <w:jc w:val="center"/>
        </w:trPr>
        <w:tc>
          <w:tcPr>
            <w:tcW w:w="1480"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专业机构</w:t>
            </w:r>
          </w:p>
        </w:tc>
        <w:tc>
          <w:tcPr>
            <w:tcW w:w="1779"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签字</w:t>
            </w:r>
          </w:p>
        </w:tc>
        <w:tc>
          <w:tcPr>
            <w:tcW w:w="2176" w:type="dxa"/>
            <w:gridSpan w:val="2"/>
            <w:vAlign w:val="center"/>
          </w:tcPr>
          <w:p>
            <w:pPr>
              <w:spacing w:line="480" w:lineRule="exact"/>
              <w:jc w:val="center"/>
              <w:rPr>
                <w:rFonts w:ascii="Times New Roman" w:hAnsi="Times New Roman" w:eastAsia="仿宋_GB2312" w:cs="Times New Roman"/>
                <w:sz w:val="24"/>
                <w:szCs w:val="24"/>
              </w:rPr>
            </w:pPr>
          </w:p>
        </w:tc>
        <w:tc>
          <w:tcPr>
            <w:tcW w:w="1754"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c>
          <w:tcPr>
            <w:tcW w:w="2266" w:type="dxa"/>
            <w:vAlign w:val="center"/>
          </w:tcPr>
          <w:p>
            <w:pPr>
              <w:spacing w:line="48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3" w:type="dxa"/>
          <w:trHeight w:val="1466" w:hRule="exact"/>
          <w:jc w:val="center"/>
        </w:trPr>
        <w:tc>
          <w:tcPr>
            <w:tcW w:w="1480" w:type="dxa"/>
            <w:vMerge w:val="continue"/>
            <w:vAlign w:val="center"/>
          </w:tcPr>
          <w:p>
            <w:pPr>
              <w:jc w:val="center"/>
              <w:rPr>
                <w:rFonts w:ascii="Times New Roman" w:hAnsi="Times New Roman" w:eastAsia="仿宋_GB2312" w:cs="Times New Roman"/>
                <w:sz w:val="24"/>
                <w:szCs w:val="24"/>
              </w:rPr>
            </w:pPr>
          </w:p>
        </w:tc>
        <w:tc>
          <w:tcPr>
            <w:tcW w:w="1779" w:type="dxa"/>
            <w:vAlign w:val="center"/>
          </w:tcPr>
          <w:p>
            <w:pPr>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备注</w:t>
            </w:r>
          </w:p>
        </w:tc>
        <w:tc>
          <w:tcPr>
            <w:tcW w:w="6196" w:type="dxa"/>
            <w:gridSpan w:val="4"/>
            <w:vAlign w:val="center"/>
          </w:tcPr>
          <w:p>
            <w:pPr>
              <w:spacing w:line="480" w:lineRule="exact"/>
              <w:jc w:val="center"/>
              <w:rPr>
                <w:rFonts w:ascii="Times New Roman" w:hAnsi="Times New Roman" w:eastAsia="仿宋_GB2312" w:cs="Times New Roman"/>
                <w:sz w:val="24"/>
                <w:szCs w:val="24"/>
              </w:rPr>
            </w:pPr>
          </w:p>
        </w:tc>
      </w:tr>
    </w:tbl>
    <w:p>
      <w:pPr>
        <w:widowControl/>
        <w:jc w:val="both"/>
        <w:rPr>
          <w:rFonts w:hint="eastAsia" w:ascii="Times New Roman" w:hAnsi="Times New Roman" w:eastAsia="仿宋_GB2312" w:cs="Times New Roman"/>
          <w:sz w:val="28"/>
          <w:szCs w:val="28"/>
          <w:lang w:eastAsia="zh-CN"/>
        </w:rPr>
        <w:sectPr>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eastAsia="仿宋_GB2312" w:cs="Times New Roman"/>
          <w:sz w:val="28"/>
          <w:szCs w:val="28"/>
          <w:lang w:eastAsia="zh-CN"/>
        </w:rPr>
        <w:t>备注：问题单后应附问题整改关闭的相关材料</w:t>
      </w:r>
    </w:p>
    <w:p>
      <w:pPr>
        <w:widowControl/>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附表</w:t>
      </w:r>
      <w:r>
        <w:rPr>
          <w:rFonts w:hint="eastAsia" w:ascii="Times New Roman" w:hAnsi="Times New Roman" w:eastAsia="黑体" w:cs="Times New Roman"/>
          <w:sz w:val="32"/>
          <w:szCs w:val="32"/>
          <w:lang w:val="en-US" w:eastAsia="zh-CN"/>
        </w:rPr>
        <w:t>4</w:t>
      </w:r>
    </w:p>
    <w:p>
      <w:pPr>
        <w:widowControl/>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核电厂消防验收问题整改承诺</w:t>
      </w:r>
      <w:r>
        <w:rPr>
          <w:rFonts w:hint="eastAsia" w:ascii="方正小标宋简体" w:hAnsi="方正小标宋简体" w:eastAsia="方正小标宋简体" w:cs="方正小标宋简体"/>
          <w:sz w:val="32"/>
          <w:szCs w:val="32"/>
          <w:lang w:eastAsia="zh-CN"/>
        </w:rPr>
        <w:t>项</w:t>
      </w:r>
      <w:r>
        <w:rPr>
          <w:rFonts w:hint="eastAsia" w:ascii="方正小标宋简体" w:hAnsi="方正小标宋简体" w:eastAsia="方正小标宋简体" w:cs="方正小标宋简体"/>
          <w:sz w:val="32"/>
          <w:szCs w:val="32"/>
        </w:rPr>
        <w:t>清单</w:t>
      </w:r>
    </w:p>
    <w:p>
      <w:pPr>
        <w:widowControl/>
        <w:jc w:val="left"/>
        <w:rPr>
          <w:rFonts w:ascii="Times New Roman" w:hAnsi="Times New Roman" w:eastAsia="仿宋_GB2312" w:cs="Times New Roman"/>
          <w:sz w:val="32"/>
          <w:szCs w:val="32"/>
        </w:rPr>
      </w:pPr>
      <w:r>
        <w:rPr>
          <w:rFonts w:hint="eastAsia" w:ascii="Times New Roman" w:hAnsi="Times New Roman" w:eastAsia="仿宋_GB2312" w:cs="Times New Roman"/>
          <w:sz w:val="24"/>
          <w:szCs w:val="24"/>
        </w:rPr>
        <w:t>核电厂营运单位（盖章）：</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专业机构（盖章）：</w:t>
      </w:r>
    </w:p>
    <w:tbl>
      <w:tblPr>
        <w:tblStyle w:val="7"/>
        <w:tblpPr w:leftFromText="180" w:rightFromText="180" w:vertAnchor="page" w:horzAnchor="margin" w:tblpY="3437"/>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2424"/>
        <w:gridCol w:w="2410"/>
        <w:gridCol w:w="1417"/>
        <w:gridCol w:w="310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jc w:val="center"/>
              <w:rPr>
                <w:rFonts w:hint="eastAsia" w:ascii="黑体" w:hAnsi="黑体" w:eastAsia="黑体" w:cs="黑体"/>
                <w:b w:val="0"/>
                <w:bCs w:val="0"/>
                <w:szCs w:val="24"/>
              </w:rPr>
            </w:pPr>
            <w:r>
              <w:rPr>
                <w:rFonts w:hint="eastAsia" w:ascii="黑体" w:hAnsi="黑体" w:eastAsia="黑体" w:cs="黑体"/>
                <w:b w:val="0"/>
                <w:bCs w:val="0"/>
                <w:szCs w:val="24"/>
              </w:rPr>
              <w:t>序号</w:t>
            </w:r>
          </w:p>
        </w:tc>
        <w:tc>
          <w:tcPr>
            <w:tcW w:w="1418" w:type="dxa"/>
            <w:shd w:val="clear" w:color="auto" w:fill="auto"/>
            <w:vAlign w:val="center"/>
          </w:tcPr>
          <w:p>
            <w:pPr>
              <w:jc w:val="center"/>
              <w:rPr>
                <w:rFonts w:hint="eastAsia" w:ascii="黑体" w:hAnsi="黑体" w:eastAsia="黑体" w:cs="黑体"/>
                <w:b w:val="0"/>
                <w:bCs w:val="0"/>
                <w:szCs w:val="24"/>
                <w:lang w:eastAsia="zh-CN"/>
              </w:rPr>
            </w:pPr>
            <w:r>
              <w:rPr>
                <w:rFonts w:hint="eastAsia" w:ascii="黑体" w:hAnsi="黑体" w:eastAsia="黑体" w:cs="黑体"/>
                <w:b w:val="0"/>
                <w:bCs w:val="0"/>
                <w:szCs w:val="24"/>
              </w:rPr>
              <w:t>问题</w:t>
            </w:r>
            <w:r>
              <w:rPr>
                <w:rFonts w:hint="eastAsia" w:ascii="黑体" w:hAnsi="黑体" w:eastAsia="黑体" w:cs="黑体"/>
                <w:b w:val="0"/>
                <w:bCs w:val="0"/>
                <w:szCs w:val="24"/>
                <w:lang w:eastAsia="zh-CN"/>
              </w:rPr>
              <w:t>名称</w:t>
            </w:r>
          </w:p>
        </w:tc>
        <w:tc>
          <w:tcPr>
            <w:tcW w:w="2424" w:type="dxa"/>
            <w:shd w:val="clear" w:color="auto" w:fill="auto"/>
            <w:vAlign w:val="center"/>
          </w:tcPr>
          <w:p>
            <w:pPr>
              <w:jc w:val="center"/>
              <w:rPr>
                <w:rFonts w:hint="eastAsia" w:ascii="黑体" w:hAnsi="黑体" w:eastAsia="黑体" w:cs="黑体"/>
                <w:b w:val="0"/>
                <w:bCs w:val="0"/>
                <w:szCs w:val="24"/>
              </w:rPr>
            </w:pPr>
            <w:r>
              <w:rPr>
                <w:rFonts w:hint="eastAsia" w:ascii="黑体" w:hAnsi="黑体" w:eastAsia="黑体" w:cs="黑体"/>
                <w:b w:val="0"/>
                <w:bCs w:val="0"/>
                <w:szCs w:val="24"/>
              </w:rPr>
              <w:t>问题描述</w:t>
            </w:r>
          </w:p>
        </w:tc>
        <w:tc>
          <w:tcPr>
            <w:tcW w:w="2410" w:type="dxa"/>
            <w:shd w:val="clear" w:color="auto" w:fill="auto"/>
            <w:vAlign w:val="center"/>
          </w:tcPr>
          <w:p>
            <w:pPr>
              <w:jc w:val="center"/>
              <w:rPr>
                <w:rFonts w:hint="eastAsia" w:ascii="黑体" w:hAnsi="黑体" w:eastAsia="黑体" w:cs="黑体"/>
                <w:b w:val="0"/>
                <w:bCs w:val="0"/>
                <w:szCs w:val="24"/>
                <w:lang w:eastAsia="zh-CN"/>
              </w:rPr>
            </w:pPr>
            <w:r>
              <w:rPr>
                <w:rFonts w:hint="eastAsia" w:ascii="黑体" w:hAnsi="黑体" w:eastAsia="黑体" w:cs="黑体"/>
                <w:b w:val="0"/>
                <w:bCs w:val="0"/>
                <w:szCs w:val="24"/>
              </w:rPr>
              <w:t>整改</w:t>
            </w:r>
            <w:r>
              <w:rPr>
                <w:rFonts w:hint="eastAsia" w:ascii="黑体" w:hAnsi="黑体" w:eastAsia="黑体" w:cs="黑体"/>
                <w:b w:val="0"/>
                <w:bCs w:val="0"/>
                <w:szCs w:val="24"/>
                <w:lang w:eastAsia="zh-CN"/>
              </w:rPr>
              <w:t>措施</w:t>
            </w:r>
          </w:p>
        </w:tc>
        <w:tc>
          <w:tcPr>
            <w:tcW w:w="1417" w:type="dxa"/>
            <w:shd w:val="clear" w:color="auto" w:fill="auto"/>
            <w:vAlign w:val="center"/>
          </w:tcPr>
          <w:p>
            <w:pPr>
              <w:jc w:val="center"/>
              <w:rPr>
                <w:rFonts w:hint="eastAsia" w:ascii="黑体" w:hAnsi="黑体" w:eastAsia="黑体" w:cs="黑体"/>
                <w:b w:val="0"/>
                <w:bCs w:val="0"/>
                <w:szCs w:val="24"/>
              </w:rPr>
            </w:pPr>
            <w:r>
              <w:rPr>
                <w:rFonts w:hint="eastAsia" w:ascii="黑体" w:hAnsi="黑体" w:eastAsia="黑体" w:cs="黑体"/>
                <w:b w:val="0"/>
                <w:bCs w:val="0"/>
                <w:szCs w:val="24"/>
              </w:rPr>
              <w:t>完成时间</w:t>
            </w:r>
          </w:p>
        </w:tc>
        <w:tc>
          <w:tcPr>
            <w:tcW w:w="3104" w:type="dxa"/>
            <w:shd w:val="clear" w:color="auto" w:fill="auto"/>
            <w:vAlign w:val="center"/>
          </w:tcPr>
          <w:p>
            <w:pPr>
              <w:jc w:val="center"/>
              <w:rPr>
                <w:rFonts w:hint="eastAsia" w:ascii="黑体" w:hAnsi="黑体" w:eastAsia="黑体" w:cs="黑体"/>
                <w:b w:val="0"/>
                <w:bCs w:val="0"/>
                <w:szCs w:val="24"/>
              </w:rPr>
            </w:pPr>
            <w:r>
              <w:rPr>
                <w:rFonts w:hint="eastAsia" w:ascii="黑体" w:hAnsi="黑体" w:eastAsia="黑体" w:cs="黑体"/>
                <w:b w:val="0"/>
                <w:bCs w:val="0"/>
                <w:szCs w:val="24"/>
              </w:rPr>
              <w:t>临时管控措施</w:t>
            </w:r>
          </w:p>
        </w:tc>
        <w:tc>
          <w:tcPr>
            <w:tcW w:w="2268" w:type="dxa"/>
            <w:shd w:val="clear" w:color="auto" w:fill="auto"/>
            <w:vAlign w:val="center"/>
          </w:tcPr>
          <w:p>
            <w:pPr>
              <w:jc w:val="center"/>
              <w:rPr>
                <w:rFonts w:hint="eastAsia" w:ascii="黑体" w:hAnsi="黑体" w:eastAsia="黑体" w:cs="黑体"/>
                <w:b w:val="0"/>
                <w:bCs w:val="0"/>
                <w:szCs w:val="24"/>
              </w:rPr>
            </w:pPr>
            <w:r>
              <w:rPr>
                <w:rFonts w:hint="eastAsia" w:ascii="黑体" w:hAnsi="黑体" w:eastAsia="黑体" w:cs="黑体"/>
                <w:b w:val="0"/>
                <w:bCs w:val="0"/>
                <w:szCs w:val="24"/>
              </w:rPr>
              <w:t>专业机构意见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17" w:type="dxa"/>
            <w:shd w:val="clear" w:color="auto" w:fill="auto"/>
            <w:vAlign w:val="center"/>
          </w:tcPr>
          <w:p>
            <w:pPr>
              <w:jc w:val="center"/>
              <w:rPr>
                <w:rFonts w:hint="eastAsia" w:ascii="Times New Roman" w:hAnsi="Times New Roman" w:cs="Times New Roman" w:eastAsiaTheme="minorEastAsia"/>
                <w:szCs w:val="24"/>
                <w:lang w:val="en-US" w:eastAsia="zh-CN"/>
              </w:rPr>
            </w:pPr>
            <w:r>
              <w:rPr>
                <w:rFonts w:hint="eastAsia" w:ascii="Times New Roman" w:hAnsi="Times New Roman" w:cs="Times New Roman"/>
                <w:szCs w:val="24"/>
                <w:lang w:val="en-US" w:eastAsia="zh-CN"/>
              </w:rPr>
              <w:t>1</w:t>
            </w:r>
          </w:p>
        </w:tc>
        <w:tc>
          <w:tcPr>
            <w:tcW w:w="1418" w:type="dxa"/>
            <w:shd w:val="clear" w:color="auto" w:fill="auto"/>
            <w:vAlign w:val="center"/>
          </w:tcPr>
          <w:p>
            <w:pPr>
              <w:widowControl/>
              <w:textAlignment w:val="center"/>
              <w:rPr>
                <w:rFonts w:ascii="Times New Roman" w:hAnsi="Times New Roman" w:cs="Times New Roman"/>
                <w:kern w:val="0"/>
                <w:szCs w:val="24"/>
              </w:rPr>
            </w:pPr>
          </w:p>
        </w:tc>
        <w:tc>
          <w:tcPr>
            <w:tcW w:w="2424" w:type="dxa"/>
            <w:shd w:val="clear" w:color="auto" w:fill="auto"/>
            <w:vAlign w:val="center"/>
          </w:tcPr>
          <w:p>
            <w:pPr>
              <w:widowControl/>
              <w:jc w:val="left"/>
              <w:textAlignment w:val="center"/>
              <w:rPr>
                <w:rStyle w:val="15"/>
                <w:rFonts w:hint="default" w:ascii="Times New Roman" w:hAnsi="Times New Roman" w:cs="Times New Roman"/>
              </w:rPr>
            </w:pPr>
          </w:p>
        </w:tc>
        <w:tc>
          <w:tcPr>
            <w:tcW w:w="2410" w:type="dxa"/>
            <w:shd w:val="clear" w:color="auto" w:fill="auto"/>
            <w:vAlign w:val="center"/>
          </w:tcPr>
          <w:p>
            <w:pPr>
              <w:jc w:val="left"/>
              <w:rPr>
                <w:rStyle w:val="15"/>
                <w:rFonts w:hint="default" w:ascii="Times New Roman" w:hAnsi="Times New Roman" w:cs="Times New Roman"/>
              </w:rPr>
            </w:pPr>
          </w:p>
        </w:tc>
        <w:tc>
          <w:tcPr>
            <w:tcW w:w="1417" w:type="dxa"/>
            <w:shd w:val="clear" w:color="auto" w:fill="auto"/>
            <w:vAlign w:val="center"/>
          </w:tcPr>
          <w:p>
            <w:pPr>
              <w:jc w:val="center"/>
              <w:rPr>
                <w:rFonts w:ascii="Times New Roman" w:hAnsi="Times New Roman" w:cs="Times New Roman"/>
                <w:szCs w:val="24"/>
              </w:rPr>
            </w:pPr>
          </w:p>
        </w:tc>
        <w:tc>
          <w:tcPr>
            <w:tcW w:w="3104" w:type="dxa"/>
            <w:shd w:val="clear" w:color="auto" w:fill="auto"/>
            <w:vAlign w:val="center"/>
          </w:tcPr>
          <w:p>
            <w:pPr>
              <w:rPr>
                <w:rFonts w:ascii="Times New Roman" w:hAnsi="Times New Roman" w:cs="Times New Roman"/>
                <w:szCs w:val="24"/>
              </w:rPr>
            </w:pPr>
          </w:p>
        </w:tc>
        <w:tc>
          <w:tcPr>
            <w:tcW w:w="2268" w:type="dxa"/>
            <w:shd w:val="clear" w:color="auto" w:fill="auto"/>
            <w:vAlign w:val="center"/>
          </w:tcPr>
          <w:p>
            <w:pPr>
              <w:jc w:val="cente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817" w:type="dxa"/>
            <w:shd w:val="clear" w:color="auto" w:fill="auto"/>
            <w:vAlign w:val="center"/>
          </w:tcPr>
          <w:p>
            <w:pPr>
              <w:widowControl/>
              <w:jc w:val="center"/>
              <w:textAlignment w:val="center"/>
              <w:rPr>
                <w:rFonts w:hint="eastAsia" w:ascii="Times New Roman" w:hAnsi="Times New Roman" w:cs="Times New Roman" w:eastAsiaTheme="minorEastAsia"/>
                <w:szCs w:val="24"/>
                <w:lang w:val="en-US" w:eastAsia="zh-CN"/>
              </w:rPr>
            </w:pPr>
            <w:r>
              <w:rPr>
                <w:rFonts w:hint="eastAsia" w:ascii="Times New Roman" w:hAnsi="Times New Roman" w:cs="Times New Roman"/>
                <w:szCs w:val="24"/>
                <w:lang w:val="en-US" w:eastAsia="zh-CN"/>
              </w:rPr>
              <w:t>2</w:t>
            </w:r>
          </w:p>
        </w:tc>
        <w:tc>
          <w:tcPr>
            <w:tcW w:w="1418" w:type="dxa"/>
            <w:shd w:val="clear" w:color="auto" w:fill="auto"/>
            <w:vAlign w:val="center"/>
          </w:tcPr>
          <w:p>
            <w:pPr>
              <w:widowControl/>
              <w:textAlignment w:val="center"/>
              <w:rPr>
                <w:rFonts w:ascii="Times New Roman" w:hAnsi="Times New Roman" w:cs="Times New Roman"/>
                <w:szCs w:val="24"/>
              </w:rPr>
            </w:pPr>
          </w:p>
        </w:tc>
        <w:tc>
          <w:tcPr>
            <w:tcW w:w="2424" w:type="dxa"/>
            <w:shd w:val="clear" w:color="auto" w:fill="auto"/>
            <w:vAlign w:val="center"/>
          </w:tcPr>
          <w:p>
            <w:pPr>
              <w:widowControl/>
              <w:jc w:val="left"/>
              <w:textAlignment w:val="center"/>
              <w:rPr>
                <w:rFonts w:ascii="Times New Roman" w:hAnsi="Times New Roman" w:cs="Times New Roman"/>
                <w:szCs w:val="24"/>
              </w:rPr>
            </w:pPr>
          </w:p>
        </w:tc>
        <w:tc>
          <w:tcPr>
            <w:tcW w:w="2410" w:type="dxa"/>
            <w:shd w:val="clear" w:color="auto" w:fill="auto"/>
            <w:vAlign w:val="center"/>
          </w:tcPr>
          <w:p>
            <w:pPr>
              <w:widowControl/>
              <w:jc w:val="left"/>
              <w:textAlignment w:val="center"/>
              <w:rPr>
                <w:rFonts w:ascii="Times New Roman" w:hAnsi="Times New Roman" w:cs="Times New Roman"/>
                <w:szCs w:val="24"/>
              </w:rPr>
            </w:pPr>
          </w:p>
        </w:tc>
        <w:tc>
          <w:tcPr>
            <w:tcW w:w="1417" w:type="dxa"/>
            <w:shd w:val="clear" w:color="auto" w:fill="auto"/>
            <w:vAlign w:val="center"/>
          </w:tcPr>
          <w:p>
            <w:pPr>
              <w:jc w:val="center"/>
              <w:rPr>
                <w:rFonts w:ascii="Times New Roman" w:hAnsi="Times New Roman" w:cs="Times New Roman"/>
                <w:szCs w:val="24"/>
              </w:rPr>
            </w:pPr>
          </w:p>
        </w:tc>
        <w:tc>
          <w:tcPr>
            <w:tcW w:w="3104" w:type="dxa"/>
            <w:shd w:val="clear" w:color="auto" w:fill="auto"/>
            <w:vAlign w:val="center"/>
          </w:tcPr>
          <w:p>
            <w:pPr>
              <w:rPr>
                <w:rFonts w:ascii="Times New Roman" w:hAnsi="Times New Roman" w:cs="Times New Roman"/>
                <w:szCs w:val="24"/>
              </w:rPr>
            </w:pPr>
          </w:p>
        </w:tc>
        <w:tc>
          <w:tcPr>
            <w:tcW w:w="2268" w:type="dxa"/>
            <w:shd w:val="clear" w:color="auto" w:fill="auto"/>
            <w:vAlign w:val="center"/>
          </w:tcPr>
          <w:p>
            <w:pPr>
              <w:jc w:val="cente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817" w:type="dxa"/>
            <w:shd w:val="clear" w:color="auto" w:fill="auto"/>
            <w:vAlign w:val="center"/>
          </w:tcPr>
          <w:p>
            <w:pPr>
              <w:widowControl/>
              <w:jc w:val="center"/>
              <w:textAlignment w:val="center"/>
              <w:rPr>
                <w:rFonts w:hint="default" w:ascii="Times New Roman" w:hAnsi="Times New Roman" w:cs="Times New Roman"/>
                <w:szCs w:val="24"/>
                <w:lang w:val="en-US" w:eastAsia="zh-CN"/>
              </w:rPr>
            </w:pPr>
            <w:r>
              <w:rPr>
                <w:rFonts w:hint="eastAsia" w:ascii="Times New Roman" w:hAnsi="Times New Roman" w:cs="Times New Roman"/>
                <w:szCs w:val="24"/>
                <w:lang w:val="en-US" w:eastAsia="zh-CN"/>
              </w:rPr>
              <w:t>3</w:t>
            </w:r>
          </w:p>
        </w:tc>
        <w:tc>
          <w:tcPr>
            <w:tcW w:w="1418" w:type="dxa"/>
            <w:shd w:val="clear" w:color="auto" w:fill="auto"/>
            <w:vAlign w:val="center"/>
          </w:tcPr>
          <w:p>
            <w:pPr>
              <w:widowControl/>
              <w:textAlignment w:val="center"/>
              <w:rPr>
                <w:rFonts w:ascii="Times New Roman" w:hAnsi="Times New Roman" w:cs="Times New Roman"/>
                <w:szCs w:val="24"/>
              </w:rPr>
            </w:pPr>
          </w:p>
        </w:tc>
        <w:tc>
          <w:tcPr>
            <w:tcW w:w="2424" w:type="dxa"/>
            <w:shd w:val="clear" w:color="auto" w:fill="auto"/>
            <w:vAlign w:val="center"/>
          </w:tcPr>
          <w:p>
            <w:pPr>
              <w:widowControl/>
              <w:jc w:val="left"/>
              <w:textAlignment w:val="center"/>
              <w:rPr>
                <w:rFonts w:ascii="Times New Roman" w:hAnsi="Times New Roman" w:cs="Times New Roman"/>
                <w:szCs w:val="24"/>
              </w:rPr>
            </w:pPr>
          </w:p>
        </w:tc>
        <w:tc>
          <w:tcPr>
            <w:tcW w:w="2410" w:type="dxa"/>
            <w:shd w:val="clear" w:color="auto" w:fill="auto"/>
            <w:vAlign w:val="center"/>
          </w:tcPr>
          <w:p>
            <w:pPr>
              <w:widowControl/>
              <w:jc w:val="left"/>
              <w:textAlignment w:val="center"/>
              <w:rPr>
                <w:rFonts w:ascii="Times New Roman" w:hAnsi="Times New Roman" w:cs="Times New Roman"/>
                <w:szCs w:val="24"/>
              </w:rPr>
            </w:pPr>
          </w:p>
        </w:tc>
        <w:tc>
          <w:tcPr>
            <w:tcW w:w="1417" w:type="dxa"/>
            <w:shd w:val="clear" w:color="auto" w:fill="auto"/>
            <w:vAlign w:val="center"/>
          </w:tcPr>
          <w:p>
            <w:pPr>
              <w:jc w:val="center"/>
              <w:rPr>
                <w:rFonts w:ascii="Times New Roman" w:hAnsi="Times New Roman" w:cs="Times New Roman"/>
                <w:szCs w:val="24"/>
              </w:rPr>
            </w:pPr>
          </w:p>
        </w:tc>
        <w:tc>
          <w:tcPr>
            <w:tcW w:w="3104" w:type="dxa"/>
            <w:shd w:val="clear" w:color="auto" w:fill="auto"/>
            <w:vAlign w:val="center"/>
          </w:tcPr>
          <w:p>
            <w:pPr>
              <w:rPr>
                <w:rFonts w:ascii="Times New Roman" w:hAnsi="Times New Roman" w:cs="Times New Roman"/>
                <w:szCs w:val="24"/>
              </w:rPr>
            </w:pPr>
          </w:p>
        </w:tc>
        <w:tc>
          <w:tcPr>
            <w:tcW w:w="2268" w:type="dxa"/>
            <w:shd w:val="clear" w:color="auto" w:fill="auto"/>
            <w:vAlign w:val="center"/>
          </w:tcPr>
          <w:p>
            <w:pPr>
              <w:jc w:val="cente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817" w:type="dxa"/>
            <w:shd w:val="clear" w:color="auto" w:fill="auto"/>
            <w:vAlign w:val="center"/>
          </w:tcPr>
          <w:p>
            <w:pPr>
              <w:widowControl/>
              <w:jc w:val="center"/>
              <w:textAlignment w:val="center"/>
              <w:rPr>
                <w:rFonts w:hint="default" w:ascii="Times New Roman" w:hAnsi="Times New Roman" w:cs="Times New Roman"/>
                <w:szCs w:val="24"/>
                <w:lang w:val="en-US" w:eastAsia="zh-CN"/>
              </w:rPr>
            </w:pPr>
            <w:r>
              <w:rPr>
                <w:rFonts w:hint="eastAsia" w:ascii="Times New Roman" w:hAnsi="Times New Roman" w:cs="Times New Roman"/>
                <w:szCs w:val="24"/>
                <w:lang w:val="en-US" w:eastAsia="zh-CN"/>
              </w:rPr>
              <w:t>4</w:t>
            </w:r>
          </w:p>
        </w:tc>
        <w:tc>
          <w:tcPr>
            <w:tcW w:w="1418" w:type="dxa"/>
            <w:shd w:val="clear" w:color="auto" w:fill="auto"/>
            <w:vAlign w:val="center"/>
          </w:tcPr>
          <w:p>
            <w:pPr>
              <w:widowControl/>
              <w:textAlignment w:val="center"/>
              <w:rPr>
                <w:rFonts w:ascii="Times New Roman" w:hAnsi="Times New Roman" w:cs="Times New Roman"/>
                <w:szCs w:val="24"/>
              </w:rPr>
            </w:pPr>
          </w:p>
        </w:tc>
        <w:tc>
          <w:tcPr>
            <w:tcW w:w="2424" w:type="dxa"/>
            <w:shd w:val="clear" w:color="auto" w:fill="auto"/>
            <w:vAlign w:val="center"/>
          </w:tcPr>
          <w:p>
            <w:pPr>
              <w:widowControl/>
              <w:jc w:val="left"/>
              <w:textAlignment w:val="center"/>
              <w:rPr>
                <w:rFonts w:ascii="Times New Roman" w:hAnsi="Times New Roman" w:cs="Times New Roman"/>
                <w:szCs w:val="24"/>
              </w:rPr>
            </w:pPr>
          </w:p>
        </w:tc>
        <w:tc>
          <w:tcPr>
            <w:tcW w:w="2410" w:type="dxa"/>
            <w:shd w:val="clear" w:color="auto" w:fill="auto"/>
            <w:vAlign w:val="center"/>
          </w:tcPr>
          <w:p>
            <w:pPr>
              <w:widowControl/>
              <w:jc w:val="left"/>
              <w:textAlignment w:val="center"/>
              <w:rPr>
                <w:rFonts w:ascii="Times New Roman" w:hAnsi="Times New Roman" w:cs="Times New Roman"/>
                <w:szCs w:val="24"/>
              </w:rPr>
            </w:pPr>
          </w:p>
        </w:tc>
        <w:tc>
          <w:tcPr>
            <w:tcW w:w="1417" w:type="dxa"/>
            <w:shd w:val="clear" w:color="auto" w:fill="auto"/>
            <w:vAlign w:val="center"/>
          </w:tcPr>
          <w:p>
            <w:pPr>
              <w:jc w:val="center"/>
              <w:rPr>
                <w:rFonts w:ascii="Times New Roman" w:hAnsi="Times New Roman" w:cs="Times New Roman"/>
                <w:szCs w:val="24"/>
              </w:rPr>
            </w:pPr>
          </w:p>
        </w:tc>
        <w:tc>
          <w:tcPr>
            <w:tcW w:w="3104" w:type="dxa"/>
            <w:shd w:val="clear" w:color="auto" w:fill="auto"/>
            <w:vAlign w:val="center"/>
          </w:tcPr>
          <w:p>
            <w:pPr>
              <w:rPr>
                <w:rFonts w:ascii="Times New Roman" w:hAnsi="Times New Roman" w:cs="Times New Roman"/>
                <w:szCs w:val="24"/>
              </w:rPr>
            </w:pPr>
          </w:p>
        </w:tc>
        <w:tc>
          <w:tcPr>
            <w:tcW w:w="2268" w:type="dxa"/>
            <w:shd w:val="clear" w:color="auto" w:fill="auto"/>
            <w:vAlign w:val="center"/>
          </w:tcPr>
          <w:p>
            <w:pPr>
              <w:jc w:val="center"/>
              <w:rPr>
                <w:rFonts w:ascii="Times New Roman" w:hAnsi="Times New Roman" w:cs="Times New Roman"/>
                <w:szCs w:val="24"/>
              </w:rPr>
            </w:pPr>
          </w:p>
        </w:tc>
      </w:tr>
    </w:tbl>
    <w:p>
      <w:pPr>
        <w:rPr>
          <w:rFonts w:ascii="华文中宋" w:hAnsi="华文中宋" w:eastAsia="华文中宋" w:cs="华文中宋"/>
          <w:b/>
          <w:color w:val="000000" w:themeColor="text1"/>
          <w:sz w:val="36"/>
          <w:szCs w:val="36"/>
          <w14:textFill>
            <w14:solidFill>
              <w14:schemeClr w14:val="tx1"/>
            </w14:solidFill>
          </w14:textFill>
        </w:rPr>
      </w:pPr>
    </w:p>
    <w:sectPr>
      <w:footerReference r:id="rId6" w:type="default"/>
      <w:footerReference r:id="rId7" w:type="even"/>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宋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kern w:val="2"/>
        <w:sz w:val="21"/>
        <w:szCs w:val="22"/>
        <w:lang w:val="en-US" w:eastAsia="zh-CN" w:bidi="ar-SA"/>
      </w:rPr>
      <w:id w:val="330184071"/>
    </w:sdtPr>
    <w:sdtEndPr>
      <w:rPr>
        <w:rFonts w:hint="eastAsia" w:ascii="仿宋_GB2312" w:hAnsi="Times New Roman" w:eastAsia="仿宋_GB2312" w:cs="Times New Roman"/>
        <w:kern w:val="2"/>
        <w:sz w:val="28"/>
        <w:szCs w:val="28"/>
        <w:lang w:val="en-US" w:eastAsia="zh-CN" w:bidi="ar-SA"/>
      </w:rPr>
    </w:sdtEndPr>
    <w:sdtContent>
      <w:p>
        <w:pPr>
          <w:widowControl w:val="0"/>
          <w:tabs>
            <w:tab w:val="center" w:pos="4153"/>
            <w:tab w:val="right" w:pos="8306"/>
          </w:tabs>
          <w:snapToGrid w:val="0"/>
          <w:jc w:val="center"/>
          <w:rPr>
            <w:rFonts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fldChar w:fldCharType="begin"/>
        </w:r>
        <w:r>
          <w:rPr>
            <w:rFonts w:hint="eastAsia" w:ascii="仿宋_GB2312" w:hAnsi="Times New Roman" w:eastAsia="仿宋_GB2312" w:cs="Times New Roman"/>
            <w:kern w:val="2"/>
            <w:sz w:val="28"/>
            <w:szCs w:val="28"/>
            <w:lang w:val="en-US" w:eastAsia="zh-CN" w:bidi="ar-SA"/>
          </w:rPr>
          <w:instrText xml:space="preserve">PAGE   \* MERGEFORMAT</w:instrText>
        </w:r>
        <w:r>
          <w:rPr>
            <w:rFonts w:hint="eastAsia" w:ascii="仿宋_GB2312" w:hAnsi="Times New Roman" w:eastAsia="仿宋_GB2312" w:cs="Times New Roman"/>
            <w:kern w:val="2"/>
            <w:sz w:val="28"/>
            <w:szCs w:val="28"/>
            <w:lang w:val="en-US" w:eastAsia="zh-CN" w:bidi="ar-SA"/>
          </w:rPr>
          <w:fldChar w:fldCharType="separate"/>
        </w:r>
        <w:r>
          <w:rPr>
            <w:rFonts w:ascii="仿宋_GB2312" w:hAnsi="Times New Roman" w:eastAsia="仿宋_GB2312" w:cs="Times New Roman"/>
            <w:kern w:val="2"/>
            <w:sz w:val="28"/>
            <w:szCs w:val="28"/>
            <w:lang w:val="zh-CN" w:eastAsia="zh-CN" w:bidi="ar-SA"/>
          </w:rPr>
          <w:t>-</w:t>
        </w:r>
        <w:r>
          <w:rPr>
            <w:rFonts w:ascii="仿宋_GB2312" w:hAnsi="Times New Roman" w:eastAsia="仿宋_GB2312" w:cs="Times New Roman"/>
            <w:kern w:val="2"/>
            <w:sz w:val="28"/>
            <w:szCs w:val="28"/>
            <w:lang w:val="en-US" w:eastAsia="zh-CN" w:bidi="ar-SA"/>
          </w:rPr>
          <w:t xml:space="preserve"> 18 -</w:t>
        </w:r>
        <w:r>
          <w:rPr>
            <w:rFonts w:hint="eastAsia" w:ascii="仿宋_GB2312" w:hAnsi="Times New Roman" w:eastAsia="仿宋_GB2312" w:cs="Times New Roman"/>
            <w:kern w:val="2"/>
            <w:sz w:val="28"/>
            <w:szCs w:val="28"/>
            <w:lang w:val="en-US" w:eastAsia="zh-CN" w:bidi="ar-SA"/>
          </w:rPr>
          <w:fldChar w:fldCharType="end"/>
        </w:r>
      </w:p>
    </w:sdtContent>
  </w:sdt>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kern w:val="2"/>
        <w:sz w:val="21"/>
        <w:szCs w:val="22"/>
        <w:lang w:val="en-US" w:eastAsia="zh-CN" w:bidi="ar-SA"/>
      </w:rPr>
      <w:id w:val="236365910"/>
    </w:sdtPr>
    <w:sdtEndPr>
      <w:rPr>
        <w:rFonts w:hint="eastAsia" w:ascii="仿宋_GB2312" w:hAnsi="Calibri" w:eastAsia="仿宋_GB2312" w:cs="Times New Roman"/>
        <w:kern w:val="2"/>
        <w:sz w:val="28"/>
        <w:szCs w:val="28"/>
        <w:lang w:val="en-US" w:eastAsia="zh-CN" w:bidi="ar-SA"/>
      </w:rPr>
    </w:sdtEndPr>
    <w:sdtContent>
      <w:p>
        <w:pPr>
          <w:widowControl w:val="0"/>
          <w:tabs>
            <w:tab w:val="center" w:pos="4153"/>
            <w:tab w:val="right" w:pos="8306"/>
          </w:tabs>
          <w:snapToGrid w:val="0"/>
          <w:jc w:val="center"/>
          <w:rPr>
            <w:rFonts w:ascii="仿宋_GB2312" w:hAnsi="Calibri" w:eastAsia="仿宋_GB2312" w:cs="Times New Roman"/>
            <w:kern w:val="2"/>
            <w:sz w:val="28"/>
            <w:szCs w:val="28"/>
            <w:lang w:val="en-US" w:eastAsia="zh-CN" w:bidi="ar-SA"/>
          </w:rPr>
        </w:pPr>
        <w:r>
          <w:rPr>
            <w:rFonts w:hint="eastAsia" w:ascii="仿宋_GB2312" w:hAnsi="Calibri" w:eastAsia="仿宋_GB2312" w:cs="Times New Roman"/>
            <w:kern w:val="2"/>
            <w:sz w:val="28"/>
            <w:szCs w:val="28"/>
            <w:lang w:val="en-US" w:eastAsia="zh-CN" w:bidi="ar-SA"/>
          </w:rPr>
          <w:fldChar w:fldCharType="begin"/>
        </w:r>
        <w:r>
          <w:rPr>
            <w:rFonts w:hint="eastAsia" w:ascii="仿宋_GB2312" w:hAnsi="Calibri" w:eastAsia="仿宋_GB2312" w:cs="Times New Roman"/>
            <w:kern w:val="2"/>
            <w:sz w:val="28"/>
            <w:szCs w:val="28"/>
            <w:lang w:val="en-US" w:eastAsia="zh-CN" w:bidi="ar-SA"/>
          </w:rPr>
          <w:instrText xml:space="preserve">PAGE   \* MERGEFORMAT</w:instrText>
        </w:r>
        <w:r>
          <w:rPr>
            <w:rFonts w:hint="eastAsia" w:ascii="仿宋_GB2312" w:hAnsi="Calibri" w:eastAsia="仿宋_GB2312" w:cs="Times New Roman"/>
            <w:kern w:val="2"/>
            <w:sz w:val="28"/>
            <w:szCs w:val="28"/>
            <w:lang w:val="en-US" w:eastAsia="zh-CN" w:bidi="ar-SA"/>
          </w:rPr>
          <w:fldChar w:fldCharType="separate"/>
        </w:r>
        <w:r>
          <w:rPr>
            <w:rFonts w:ascii="仿宋_GB2312" w:hAnsi="Times New Roman" w:eastAsia="仿宋_GB2312" w:cs="Times New Roman"/>
            <w:kern w:val="2"/>
            <w:sz w:val="28"/>
            <w:szCs w:val="28"/>
            <w:lang w:val="zh-CN" w:eastAsia="zh-CN" w:bidi="ar-SA"/>
          </w:rPr>
          <w:t>-</w:t>
        </w:r>
        <w:r>
          <w:rPr>
            <w:rFonts w:ascii="仿宋_GB2312" w:hAnsi="Calibri" w:eastAsia="仿宋_GB2312" w:cs="Times New Roman"/>
            <w:kern w:val="2"/>
            <w:sz w:val="28"/>
            <w:szCs w:val="28"/>
            <w:lang w:val="en-US" w:eastAsia="zh-CN" w:bidi="ar-SA"/>
          </w:rPr>
          <w:t xml:space="preserve"> 2 -</w:t>
        </w:r>
        <w:r>
          <w:rPr>
            <w:rFonts w:hint="eastAsia" w:ascii="仿宋_GB2312" w:hAnsi="Calibri" w:eastAsia="仿宋_GB2312" w:cs="Times New Roman"/>
            <w:kern w:val="2"/>
            <w:sz w:val="28"/>
            <w:szCs w:val="28"/>
            <w:lang w:val="en-US" w:eastAsia="zh-CN" w:bidi="ar-SA"/>
          </w:rPr>
          <w:fldChar w:fldCharType="end"/>
        </w:r>
      </w:p>
    </w:sdtContent>
  </w:sdt>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47581"/>
    </w:sdtPr>
    <w:sdtEndPr>
      <w:rPr>
        <w:rFonts w:ascii="Times New Roman" w:hAnsi="Times New Roman" w:cs="Times New Roman"/>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02"/>
    <w:rsid w:val="00004F3A"/>
    <w:rsid w:val="00006E9F"/>
    <w:rsid w:val="00007114"/>
    <w:rsid w:val="00013011"/>
    <w:rsid w:val="0001610E"/>
    <w:rsid w:val="000169CB"/>
    <w:rsid w:val="00024EC9"/>
    <w:rsid w:val="0002796C"/>
    <w:rsid w:val="00036749"/>
    <w:rsid w:val="00041883"/>
    <w:rsid w:val="00043858"/>
    <w:rsid w:val="000509D4"/>
    <w:rsid w:val="000539C3"/>
    <w:rsid w:val="0005615A"/>
    <w:rsid w:val="00061DE4"/>
    <w:rsid w:val="00063D35"/>
    <w:rsid w:val="00064037"/>
    <w:rsid w:val="000646F3"/>
    <w:rsid w:val="00077914"/>
    <w:rsid w:val="00081D3C"/>
    <w:rsid w:val="000860C0"/>
    <w:rsid w:val="00086428"/>
    <w:rsid w:val="000870FF"/>
    <w:rsid w:val="0009401E"/>
    <w:rsid w:val="000949EA"/>
    <w:rsid w:val="00096BC9"/>
    <w:rsid w:val="000A3453"/>
    <w:rsid w:val="000A35A9"/>
    <w:rsid w:val="000A63BF"/>
    <w:rsid w:val="000B2024"/>
    <w:rsid w:val="000B2B5B"/>
    <w:rsid w:val="000B57CB"/>
    <w:rsid w:val="000C059C"/>
    <w:rsid w:val="000C109F"/>
    <w:rsid w:val="000C137E"/>
    <w:rsid w:val="000C3EF5"/>
    <w:rsid w:val="000D1096"/>
    <w:rsid w:val="000D64B3"/>
    <w:rsid w:val="000E0A9F"/>
    <w:rsid w:val="000E0C1B"/>
    <w:rsid w:val="000E286F"/>
    <w:rsid w:val="000E42BC"/>
    <w:rsid w:val="000E5171"/>
    <w:rsid w:val="000E6419"/>
    <w:rsid w:val="000E7449"/>
    <w:rsid w:val="000F200B"/>
    <w:rsid w:val="000F6A2D"/>
    <w:rsid w:val="000F7431"/>
    <w:rsid w:val="000F7877"/>
    <w:rsid w:val="001064F1"/>
    <w:rsid w:val="00113B1C"/>
    <w:rsid w:val="00125874"/>
    <w:rsid w:val="001259B7"/>
    <w:rsid w:val="00127838"/>
    <w:rsid w:val="001330B5"/>
    <w:rsid w:val="001379BA"/>
    <w:rsid w:val="001437F3"/>
    <w:rsid w:val="00143E84"/>
    <w:rsid w:val="00143F45"/>
    <w:rsid w:val="00146C19"/>
    <w:rsid w:val="00150A0D"/>
    <w:rsid w:val="00151A12"/>
    <w:rsid w:val="00156A43"/>
    <w:rsid w:val="00164915"/>
    <w:rsid w:val="0016591F"/>
    <w:rsid w:val="00166A4B"/>
    <w:rsid w:val="00173EDB"/>
    <w:rsid w:val="0017609A"/>
    <w:rsid w:val="00177615"/>
    <w:rsid w:val="00182BF6"/>
    <w:rsid w:val="00183A52"/>
    <w:rsid w:val="001842B7"/>
    <w:rsid w:val="00187B9B"/>
    <w:rsid w:val="00191659"/>
    <w:rsid w:val="001927E4"/>
    <w:rsid w:val="001944F7"/>
    <w:rsid w:val="00195B9A"/>
    <w:rsid w:val="00197152"/>
    <w:rsid w:val="001A33CE"/>
    <w:rsid w:val="001A444B"/>
    <w:rsid w:val="001A5DD3"/>
    <w:rsid w:val="001B0518"/>
    <w:rsid w:val="001B645A"/>
    <w:rsid w:val="001C0E8C"/>
    <w:rsid w:val="001C10C2"/>
    <w:rsid w:val="001D0705"/>
    <w:rsid w:val="001D19C9"/>
    <w:rsid w:val="001D1BCC"/>
    <w:rsid w:val="001D3004"/>
    <w:rsid w:val="001E1956"/>
    <w:rsid w:val="001E47B0"/>
    <w:rsid w:val="001E50C8"/>
    <w:rsid w:val="001E5B56"/>
    <w:rsid w:val="001E79A0"/>
    <w:rsid w:val="001F17D6"/>
    <w:rsid w:val="001F21D0"/>
    <w:rsid w:val="001F2A50"/>
    <w:rsid w:val="001F4259"/>
    <w:rsid w:val="00201FB1"/>
    <w:rsid w:val="00204A32"/>
    <w:rsid w:val="00204B50"/>
    <w:rsid w:val="00221872"/>
    <w:rsid w:val="0022304F"/>
    <w:rsid w:val="00227A0E"/>
    <w:rsid w:val="00227CCF"/>
    <w:rsid w:val="00232237"/>
    <w:rsid w:val="00235EE1"/>
    <w:rsid w:val="00236EFD"/>
    <w:rsid w:val="00245BA4"/>
    <w:rsid w:val="00246EB6"/>
    <w:rsid w:val="002471C2"/>
    <w:rsid w:val="0026387C"/>
    <w:rsid w:val="00275A5C"/>
    <w:rsid w:val="0028040C"/>
    <w:rsid w:val="002820A4"/>
    <w:rsid w:val="00282268"/>
    <w:rsid w:val="0028475C"/>
    <w:rsid w:val="00287EBE"/>
    <w:rsid w:val="002914F6"/>
    <w:rsid w:val="00293337"/>
    <w:rsid w:val="002A128E"/>
    <w:rsid w:val="002B6BEA"/>
    <w:rsid w:val="002B7A1A"/>
    <w:rsid w:val="002B7E9C"/>
    <w:rsid w:val="002C1235"/>
    <w:rsid w:val="002E0E5C"/>
    <w:rsid w:val="002E65F2"/>
    <w:rsid w:val="002E69E5"/>
    <w:rsid w:val="002E6B4E"/>
    <w:rsid w:val="002F2B7B"/>
    <w:rsid w:val="00302E90"/>
    <w:rsid w:val="003104D9"/>
    <w:rsid w:val="00311517"/>
    <w:rsid w:val="00314599"/>
    <w:rsid w:val="00315427"/>
    <w:rsid w:val="00316F98"/>
    <w:rsid w:val="0031725B"/>
    <w:rsid w:val="00323409"/>
    <w:rsid w:val="00327B65"/>
    <w:rsid w:val="00333CF5"/>
    <w:rsid w:val="003349E0"/>
    <w:rsid w:val="0033573C"/>
    <w:rsid w:val="0033709E"/>
    <w:rsid w:val="0034051C"/>
    <w:rsid w:val="003438AC"/>
    <w:rsid w:val="00357E15"/>
    <w:rsid w:val="00361706"/>
    <w:rsid w:val="00363A36"/>
    <w:rsid w:val="0036411F"/>
    <w:rsid w:val="003645F7"/>
    <w:rsid w:val="003713A9"/>
    <w:rsid w:val="00371F3A"/>
    <w:rsid w:val="00380EEE"/>
    <w:rsid w:val="003832AF"/>
    <w:rsid w:val="003875F7"/>
    <w:rsid w:val="00393212"/>
    <w:rsid w:val="00395482"/>
    <w:rsid w:val="00395AA5"/>
    <w:rsid w:val="003A052B"/>
    <w:rsid w:val="003A17E6"/>
    <w:rsid w:val="003A6EEB"/>
    <w:rsid w:val="003C02F2"/>
    <w:rsid w:val="003C289F"/>
    <w:rsid w:val="003C2949"/>
    <w:rsid w:val="003C3C06"/>
    <w:rsid w:val="003C78B0"/>
    <w:rsid w:val="003D366B"/>
    <w:rsid w:val="003D752A"/>
    <w:rsid w:val="003E446B"/>
    <w:rsid w:val="003E46F7"/>
    <w:rsid w:val="003E7B6B"/>
    <w:rsid w:val="003F19DC"/>
    <w:rsid w:val="003F3159"/>
    <w:rsid w:val="003F75E2"/>
    <w:rsid w:val="00407FF0"/>
    <w:rsid w:val="00413651"/>
    <w:rsid w:val="00415471"/>
    <w:rsid w:val="00415739"/>
    <w:rsid w:val="00425087"/>
    <w:rsid w:val="00426FAA"/>
    <w:rsid w:val="00440AA4"/>
    <w:rsid w:val="0044198E"/>
    <w:rsid w:val="00442046"/>
    <w:rsid w:val="00442839"/>
    <w:rsid w:val="00445763"/>
    <w:rsid w:val="00446F7A"/>
    <w:rsid w:val="00447192"/>
    <w:rsid w:val="004615B8"/>
    <w:rsid w:val="004862DB"/>
    <w:rsid w:val="004906E1"/>
    <w:rsid w:val="00491E24"/>
    <w:rsid w:val="004943BF"/>
    <w:rsid w:val="00494CCB"/>
    <w:rsid w:val="00497B21"/>
    <w:rsid w:val="004A2A42"/>
    <w:rsid w:val="004A3A06"/>
    <w:rsid w:val="004A6E99"/>
    <w:rsid w:val="004B29C1"/>
    <w:rsid w:val="004C0CDE"/>
    <w:rsid w:val="004C2BEA"/>
    <w:rsid w:val="004C4AAF"/>
    <w:rsid w:val="004C713B"/>
    <w:rsid w:val="004C7C4D"/>
    <w:rsid w:val="004D167B"/>
    <w:rsid w:val="004D32C9"/>
    <w:rsid w:val="004D64EC"/>
    <w:rsid w:val="004E1279"/>
    <w:rsid w:val="004E16BA"/>
    <w:rsid w:val="004E2D38"/>
    <w:rsid w:val="004E3BB4"/>
    <w:rsid w:val="004E5284"/>
    <w:rsid w:val="004E7E40"/>
    <w:rsid w:val="004F2C4C"/>
    <w:rsid w:val="00501F8F"/>
    <w:rsid w:val="005043A9"/>
    <w:rsid w:val="0051475B"/>
    <w:rsid w:val="005165A6"/>
    <w:rsid w:val="00517187"/>
    <w:rsid w:val="005175DE"/>
    <w:rsid w:val="00517C35"/>
    <w:rsid w:val="005206AF"/>
    <w:rsid w:val="00521757"/>
    <w:rsid w:val="00522018"/>
    <w:rsid w:val="00525702"/>
    <w:rsid w:val="005318AD"/>
    <w:rsid w:val="00532694"/>
    <w:rsid w:val="00540E35"/>
    <w:rsid w:val="00552D39"/>
    <w:rsid w:val="0055385F"/>
    <w:rsid w:val="00555B58"/>
    <w:rsid w:val="00566083"/>
    <w:rsid w:val="0056702C"/>
    <w:rsid w:val="005732AD"/>
    <w:rsid w:val="005904EB"/>
    <w:rsid w:val="00592B33"/>
    <w:rsid w:val="0059435A"/>
    <w:rsid w:val="00595ED1"/>
    <w:rsid w:val="00596667"/>
    <w:rsid w:val="0059758B"/>
    <w:rsid w:val="005A444A"/>
    <w:rsid w:val="005C129C"/>
    <w:rsid w:val="005C28C1"/>
    <w:rsid w:val="005C4849"/>
    <w:rsid w:val="005C68F1"/>
    <w:rsid w:val="005E4C48"/>
    <w:rsid w:val="005F1646"/>
    <w:rsid w:val="005F6E39"/>
    <w:rsid w:val="006007E0"/>
    <w:rsid w:val="0060181E"/>
    <w:rsid w:val="0061604B"/>
    <w:rsid w:val="00617B78"/>
    <w:rsid w:val="00617DDA"/>
    <w:rsid w:val="00617FCF"/>
    <w:rsid w:val="006223DF"/>
    <w:rsid w:val="00623F6E"/>
    <w:rsid w:val="00632AE0"/>
    <w:rsid w:val="00636294"/>
    <w:rsid w:val="00637B82"/>
    <w:rsid w:val="006415A4"/>
    <w:rsid w:val="00651374"/>
    <w:rsid w:val="0066064C"/>
    <w:rsid w:val="00660D90"/>
    <w:rsid w:val="00666AE8"/>
    <w:rsid w:val="00666B45"/>
    <w:rsid w:val="00667D24"/>
    <w:rsid w:val="00674B6A"/>
    <w:rsid w:val="00674C26"/>
    <w:rsid w:val="00675170"/>
    <w:rsid w:val="00676682"/>
    <w:rsid w:val="006840C7"/>
    <w:rsid w:val="00685470"/>
    <w:rsid w:val="006958E0"/>
    <w:rsid w:val="006964C0"/>
    <w:rsid w:val="00696695"/>
    <w:rsid w:val="006A3274"/>
    <w:rsid w:val="006B0B79"/>
    <w:rsid w:val="006B3485"/>
    <w:rsid w:val="006B5377"/>
    <w:rsid w:val="006C172C"/>
    <w:rsid w:val="006C471C"/>
    <w:rsid w:val="006C7C6D"/>
    <w:rsid w:val="006D45E2"/>
    <w:rsid w:val="006D76AD"/>
    <w:rsid w:val="006E0C85"/>
    <w:rsid w:val="006E1E8B"/>
    <w:rsid w:val="006E399A"/>
    <w:rsid w:val="006E4F52"/>
    <w:rsid w:val="006E6655"/>
    <w:rsid w:val="006E6D13"/>
    <w:rsid w:val="006F35FD"/>
    <w:rsid w:val="006F3E27"/>
    <w:rsid w:val="006F3F7C"/>
    <w:rsid w:val="006F50F4"/>
    <w:rsid w:val="006F5534"/>
    <w:rsid w:val="00701B68"/>
    <w:rsid w:val="00712CFB"/>
    <w:rsid w:val="00720155"/>
    <w:rsid w:val="00720FED"/>
    <w:rsid w:val="007232E7"/>
    <w:rsid w:val="0072430A"/>
    <w:rsid w:val="00730C5D"/>
    <w:rsid w:val="00734CA9"/>
    <w:rsid w:val="00735B53"/>
    <w:rsid w:val="0074623D"/>
    <w:rsid w:val="00747287"/>
    <w:rsid w:val="00753DA9"/>
    <w:rsid w:val="00754887"/>
    <w:rsid w:val="007548FD"/>
    <w:rsid w:val="00756054"/>
    <w:rsid w:val="00756407"/>
    <w:rsid w:val="007564B9"/>
    <w:rsid w:val="00764A36"/>
    <w:rsid w:val="007666D3"/>
    <w:rsid w:val="00767423"/>
    <w:rsid w:val="00770510"/>
    <w:rsid w:val="007771AD"/>
    <w:rsid w:val="00780CC7"/>
    <w:rsid w:val="00782BEE"/>
    <w:rsid w:val="00782D9C"/>
    <w:rsid w:val="007837FE"/>
    <w:rsid w:val="007849FC"/>
    <w:rsid w:val="00784A53"/>
    <w:rsid w:val="00787752"/>
    <w:rsid w:val="007915CB"/>
    <w:rsid w:val="007934F7"/>
    <w:rsid w:val="00793CC1"/>
    <w:rsid w:val="007A011E"/>
    <w:rsid w:val="007A0743"/>
    <w:rsid w:val="007A0A7C"/>
    <w:rsid w:val="007B0BAC"/>
    <w:rsid w:val="007C0859"/>
    <w:rsid w:val="007C4E98"/>
    <w:rsid w:val="007C588A"/>
    <w:rsid w:val="007D436C"/>
    <w:rsid w:val="007E4048"/>
    <w:rsid w:val="007F2D10"/>
    <w:rsid w:val="007F715E"/>
    <w:rsid w:val="00800F84"/>
    <w:rsid w:val="00812114"/>
    <w:rsid w:val="00813487"/>
    <w:rsid w:val="0081571A"/>
    <w:rsid w:val="00822975"/>
    <w:rsid w:val="00823C92"/>
    <w:rsid w:val="00831452"/>
    <w:rsid w:val="00837526"/>
    <w:rsid w:val="008411EC"/>
    <w:rsid w:val="008544DF"/>
    <w:rsid w:val="0085690C"/>
    <w:rsid w:val="0086507F"/>
    <w:rsid w:val="008658F4"/>
    <w:rsid w:val="00874FF0"/>
    <w:rsid w:val="00875B6D"/>
    <w:rsid w:val="00891AE0"/>
    <w:rsid w:val="00893EB0"/>
    <w:rsid w:val="008A1F85"/>
    <w:rsid w:val="008A62B8"/>
    <w:rsid w:val="008A6D75"/>
    <w:rsid w:val="008B241B"/>
    <w:rsid w:val="008C64C7"/>
    <w:rsid w:val="008C65D1"/>
    <w:rsid w:val="008C6F22"/>
    <w:rsid w:val="008D06AD"/>
    <w:rsid w:val="008D4A64"/>
    <w:rsid w:val="008D794B"/>
    <w:rsid w:val="008D7F40"/>
    <w:rsid w:val="008E269E"/>
    <w:rsid w:val="008E392F"/>
    <w:rsid w:val="008E55CA"/>
    <w:rsid w:val="008F133C"/>
    <w:rsid w:val="00901A2E"/>
    <w:rsid w:val="009057CA"/>
    <w:rsid w:val="00906C1B"/>
    <w:rsid w:val="00927CB8"/>
    <w:rsid w:val="00937294"/>
    <w:rsid w:val="00940B69"/>
    <w:rsid w:val="00940C16"/>
    <w:rsid w:val="00943985"/>
    <w:rsid w:val="009462F3"/>
    <w:rsid w:val="00947169"/>
    <w:rsid w:val="00950FE8"/>
    <w:rsid w:val="009548AC"/>
    <w:rsid w:val="009636C5"/>
    <w:rsid w:val="0096424C"/>
    <w:rsid w:val="00964892"/>
    <w:rsid w:val="00966F1D"/>
    <w:rsid w:val="00970269"/>
    <w:rsid w:val="00970E2F"/>
    <w:rsid w:val="0097504E"/>
    <w:rsid w:val="00976DBB"/>
    <w:rsid w:val="00997022"/>
    <w:rsid w:val="009A2DB7"/>
    <w:rsid w:val="009A4EF9"/>
    <w:rsid w:val="009A60FE"/>
    <w:rsid w:val="009B73D2"/>
    <w:rsid w:val="009B7F2B"/>
    <w:rsid w:val="009C6768"/>
    <w:rsid w:val="009D0480"/>
    <w:rsid w:val="009D25E6"/>
    <w:rsid w:val="009D54B3"/>
    <w:rsid w:val="009E5BEE"/>
    <w:rsid w:val="009F3584"/>
    <w:rsid w:val="009F440D"/>
    <w:rsid w:val="009F62F4"/>
    <w:rsid w:val="00A0009C"/>
    <w:rsid w:val="00A0211E"/>
    <w:rsid w:val="00A036D7"/>
    <w:rsid w:val="00A03DEC"/>
    <w:rsid w:val="00A04D9E"/>
    <w:rsid w:val="00A10F68"/>
    <w:rsid w:val="00A153BA"/>
    <w:rsid w:val="00A15F1E"/>
    <w:rsid w:val="00A16BD2"/>
    <w:rsid w:val="00A1705B"/>
    <w:rsid w:val="00A21830"/>
    <w:rsid w:val="00A4594B"/>
    <w:rsid w:val="00A46063"/>
    <w:rsid w:val="00A6118D"/>
    <w:rsid w:val="00A633DC"/>
    <w:rsid w:val="00A7300D"/>
    <w:rsid w:val="00A74845"/>
    <w:rsid w:val="00A76498"/>
    <w:rsid w:val="00A8697A"/>
    <w:rsid w:val="00A901A9"/>
    <w:rsid w:val="00A955B4"/>
    <w:rsid w:val="00AA11A7"/>
    <w:rsid w:val="00AA6A59"/>
    <w:rsid w:val="00AA7556"/>
    <w:rsid w:val="00AB2819"/>
    <w:rsid w:val="00AB2E07"/>
    <w:rsid w:val="00AC0406"/>
    <w:rsid w:val="00AC13B1"/>
    <w:rsid w:val="00AD0CC7"/>
    <w:rsid w:val="00AD17A9"/>
    <w:rsid w:val="00AD5E11"/>
    <w:rsid w:val="00AD7D29"/>
    <w:rsid w:val="00AE0F7F"/>
    <w:rsid w:val="00AE1E26"/>
    <w:rsid w:val="00AE2D81"/>
    <w:rsid w:val="00AE5300"/>
    <w:rsid w:val="00AE5549"/>
    <w:rsid w:val="00AE5FAF"/>
    <w:rsid w:val="00AE6A07"/>
    <w:rsid w:val="00AE7BFC"/>
    <w:rsid w:val="00AF1C39"/>
    <w:rsid w:val="00AF3169"/>
    <w:rsid w:val="00AF32C3"/>
    <w:rsid w:val="00AF3D36"/>
    <w:rsid w:val="00AF4092"/>
    <w:rsid w:val="00AF4CE9"/>
    <w:rsid w:val="00B014F8"/>
    <w:rsid w:val="00B02A4B"/>
    <w:rsid w:val="00B05F84"/>
    <w:rsid w:val="00B06EFF"/>
    <w:rsid w:val="00B1332F"/>
    <w:rsid w:val="00B147FA"/>
    <w:rsid w:val="00B2271F"/>
    <w:rsid w:val="00B2396B"/>
    <w:rsid w:val="00B23AE7"/>
    <w:rsid w:val="00B25721"/>
    <w:rsid w:val="00B3162C"/>
    <w:rsid w:val="00B34FB0"/>
    <w:rsid w:val="00B354FA"/>
    <w:rsid w:val="00B43376"/>
    <w:rsid w:val="00B45C01"/>
    <w:rsid w:val="00B70546"/>
    <w:rsid w:val="00B726F2"/>
    <w:rsid w:val="00B72802"/>
    <w:rsid w:val="00B73D1B"/>
    <w:rsid w:val="00B74DDE"/>
    <w:rsid w:val="00B74F38"/>
    <w:rsid w:val="00B81662"/>
    <w:rsid w:val="00B81C08"/>
    <w:rsid w:val="00B84A15"/>
    <w:rsid w:val="00B84AA2"/>
    <w:rsid w:val="00B8718B"/>
    <w:rsid w:val="00B963A8"/>
    <w:rsid w:val="00BA4E47"/>
    <w:rsid w:val="00BB15E9"/>
    <w:rsid w:val="00BB6551"/>
    <w:rsid w:val="00BC18B0"/>
    <w:rsid w:val="00BC2601"/>
    <w:rsid w:val="00BC6874"/>
    <w:rsid w:val="00BE0F48"/>
    <w:rsid w:val="00BE3973"/>
    <w:rsid w:val="00BF2212"/>
    <w:rsid w:val="00BF58F0"/>
    <w:rsid w:val="00BF6BC4"/>
    <w:rsid w:val="00BF76DB"/>
    <w:rsid w:val="00C015A0"/>
    <w:rsid w:val="00C01D9E"/>
    <w:rsid w:val="00C02076"/>
    <w:rsid w:val="00C026A1"/>
    <w:rsid w:val="00C02E35"/>
    <w:rsid w:val="00C12BBB"/>
    <w:rsid w:val="00C14006"/>
    <w:rsid w:val="00C175C7"/>
    <w:rsid w:val="00C20D77"/>
    <w:rsid w:val="00C27C00"/>
    <w:rsid w:val="00C31934"/>
    <w:rsid w:val="00C31A85"/>
    <w:rsid w:val="00C362BB"/>
    <w:rsid w:val="00C3670E"/>
    <w:rsid w:val="00C41A0F"/>
    <w:rsid w:val="00C447BD"/>
    <w:rsid w:val="00C44EA6"/>
    <w:rsid w:val="00C50202"/>
    <w:rsid w:val="00C73558"/>
    <w:rsid w:val="00C77C54"/>
    <w:rsid w:val="00C8334B"/>
    <w:rsid w:val="00C83614"/>
    <w:rsid w:val="00C84AAD"/>
    <w:rsid w:val="00C94718"/>
    <w:rsid w:val="00CA0207"/>
    <w:rsid w:val="00CA059A"/>
    <w:rsid w:val="00CB0566"/>
    <w:rsid w:val="00CB09C2"/>
    <w:rsid w:val="00CB09EA"/>
    <w:rsid w:val="00CB16D4"/>
    <w:rsid w:val="00CB1ED7"/>
    <w:rsid w:val="00CB3D84"/>
    <w:rsid w:val="00CB4981"/>
    <w:rsid w:val="00CB6D28"/>
    <w:rsid w:val="00CC1433"/>
    <w:rsid w:val="00CC5121"/>
    <w:rsid w:val="00CC57E3"/>
    <w:rsid w:val="00CD111F"/>
    <w:rsid w:val="00CD1F4A"/>
    <w:rsid w:val="00CD4B5E"/>
    <w:rsid w:val="00CD5566"/>
    <w:rsid w:val="00CD5A92"/>
    <w:rsid w:val="00CD6AE3"/>
    <w:rsid w:val="00CE2C5B"/>
    <w:rsid w:val="00CE4E04"/>
    <w:rsid w:val="00CE6298"/>
    <w:rsid w:val="00CF23F0"/>
    <w:rsid w:val="00CF4FBB"/>
    <w:rsid w:val="00D0259B"/>
    <w:rsid w:val="00D12E6F"/>
    <w:rsid w:val="00D13FE3"/>
    <w:rsid w:val="00D1599F"/>
    <w:rsid w:val="00D16635"/>
    <w:rsid w:val="00D174E3"/>
    <w:rsid w:val="00D2522E"/>
    <w:rsid w:val="00D267A2"/>
    <w:rsid w:val="00D31A72"/>
    <w:rsid w:val="00D4360F"/>
    <w:rsid w:val="00D462AE"/>
    <w:rsid w:val="00D53A14"/>
    <w:rsid w:val="00D554DF"/>
    <w:rsid w:val="00D63664"/>
    <w:rsid w:val="00D6415E"/>
    <w:rsid w:val="00D64F1B"/>
    <w:rsid w:val="00D6698D"/>
    <w:rsid w:val="00D706E7"/>
    <w:rsid w:val="00D708B8"/>
    <w:rsid w:val="00D74C1C"/>
    <w:rsid w:val="00D83618"/>
    <w:rsid w:val="00D9031F"/>
    <w:rsid w:val="00D90A30"/>
    <w:rsid w:val="00D914D2"/>
    <w:rsid w:val="00D93BC1"/>
    <w:rsid w:val="00D94073"/>
    <w:rsid w:val="00D94CFA"/>
    <w:rsid w:val="00DA06F9"/>
    <w:rsid w:val="00DA1F8D"/>
    <w:rsid w:val="00DA2A75"/>
    <w:rsid w:val="00DA2CD4"/>
    <w:rsid w:val="00DB1349"/>
    <w:rsid w:val="00DC14B3"/>
    <w:rsid w:val="00DC1991"/>
    <w:rsid w:val="00DC231C"/>
    <w:rsid w:val="00DC3274"/>
    <w:rsid w:val="00DD2279"/>
    <w:rsid w:val="00DD33CF"/>
    <w:rsid w:val="00DD6DF7"/>
    <w:rsid w:val="00DD7096"/>
    <w:rsid w:val="00DE020B"/>
    <w:rsid w:val="00DE1F27"/>
    <w:rsid w:val="00DF24DC"/>
    <w:rsid w:val="00DF2F40"/>
    <w:rsid w:val="00DF3BBA"/>
    <w:rsid w:val="00DF737D"/>
    <w:rsid w:val="00DF7610"/>
    <w:rsid w:val="00E007B7"/>
    <w:rsid w:val="00E073A3"/>
    <w:rsid w:val="00E11C5F"/>
    <w:rsid w:val="00E15D99"/>
    <w:rsid w:val="00E202AB"/>
    <w:rsid w:val="00E25407"/>
    <w:rsid w:val="00E311FB"/>
    <w:rsid w:val="00E330B0"/>
    <w:rsid w:val="00E34AFA"/>
    <w:rsid w:val="00E402E0"/>
    <w:rsid w:val="00E50C64"/>
    <w:rsid w:val="00E523DF"/>
    <w:rsid w:val="00E567C5"/>
    <w:rsid w:val="00E6518F"/>
    <w:rsid w:val="00E716FA"/>
    <w:rsid w:val="00E7611E"/>
    <w:rsid w:val="00E7768E"/>
    <w:rsid w:val="00E819AC"/>
    <w:rsid w:val="00E9588B"/>
    <w:rsid w:val="00EA2F86"/>
    <w:rsid w:val="00EA5178"/>
    <w:rsid w:val="00EB4D15"/>
    <w:rsid w:val="00EB6A49"/>
    <w:rsid w:val="00EB7736"/>
    <w:rsid w:val="00EC0559"/>
    <w:rsid w:val="00EC221E"/>
    <w:rsid w:val="00ED64C0"/>
    <w:rsid w:val="00EF104D"/>
    <w:rsid w:val="00EF31A8"/>
    <w:rsid w:val="00EF4BD8"/>
    <w:rsid w:val="00EF7505"/>
    <w:rsid w:val="00F042A2"/>
    <w:rsid w:val="00F115BF"/>
    <w:rsid w:val="00F126BA"/>
    <w:rsid w:val="00F12C50"/>
    <w:rsid w:val="00F13D17"/>
    <w:rsid w:val="00F23598"/>
    <w:rsid w:val="00F27273"/>
    <w:rsid w:val="00F33BD6"/>
    <w:rsid w:val="00F35CE9"/>
    <w:rsid w:val="00F36491"/>
    <w:rsid w:val="00F4011E"/>
    <w:rsid w:val="00F43BA1"/>
    <w:rsid w:val="00F518F4"/>
    <w:rsid w:val="00F51D6F"/>
    <w:rsid w:val="00F543FE"/>
    <w:rsid w:val="00F56FE3"/>
    <w:rsid w:val="00F630B4"/>
    <w:rsid w:val="00F67C55"/>
    <w:rsid w:val="00F7082A"/>
    <w:rsid w:val="00F71DAA"/>
    <w:rsid w:val="00F7536F"/>
    <w:rsid w:val="00F811C6"/>
    <w:rsid w:val="00F8122B"/>
    <w:rsid w:val="00F8362E"/>
    <w:rsid w:val="00FA2CF3"/>
    <w:rsid w:val="00FA433B"/>
    <w:rsid w:val="00FB2E8D"/>
    <w:rsid w:val="00FB46F5"/>
    <w:rsid w:val="00FC6A6E"/>
    <w:rsid w:val="00FD51CC"/>
    <w:rsid w:val="00FD5644"/>
    <w:rsid w:val="00FE66BF"/>
    <w:rsid w:val="00FF0FDA"/>
    <w:rsid w:val="00FF5DA9"/>
    <w:rsid w:val="0615524C"/>
    <w:rsid w:val="0FFBA99A"/>
    <w:rsid w:val="11501FD2"/>
    <w:rsid w:val="167D68C2"/>
    <w:rsid w:val="1E1F19AD"/>
    <w:rsid w:val="1F726E5A"/>
    <w:rsid w:val="27E5BD6F"/>
    <w:rsid w:val="2A1A3DF9"/>
    <w:rsid w:val="2C3E4389"/>
    <w:rsid w:val="2C553CB6"/>
    <w:rsid w:val="37BBE88A"/>
    <w:rsid w:val="386F6BB5"/>
    <w:rsid w:val="3AFE735D"/>
    <w:rsid w:val="3BEBCA20"/>
    <w:rsid w:val="3C1F2EC8"/>
    <w:rsid w:val="3CFF31E1"/>
    <w:rsid w:val="3E8761A1"/>
    <w:rsid w:val="3EE354CC"/>
    <w:rsid w:val="3EFECE9E"/>
    <w:rsid w:val="3EFFA2FE"/>
    <w:rsid w:val="3F7D3CEB"/>
    <w:rsid w:val="3F832C54"/>
    <w:rsid w:val="3F9DD661"/>
    <w:rsid w:val="3FDFF67E"/>
    <w:rsid w:val="3FFFAB0F"/>
    <w:rsid w:val="475BE8D1"/>
    <w:rsid w:val="47AE76EF"/>
    <w:rsid w:val="4B5FFD2D"/>
    <w:rsid w:val="4CCB1F5F"/>
    <w:rsid w:val="4E561B1D"/>
    <w:rsid w:val="4E8C33F0"/>
    <w:rsid w:val="4F5A35E2"/>
    <w:rsid w:val="4FDCCEDC"/>
    <w:rsid w:val="55FABC0F"/>
    <w:rsid w:val="59FE4F3D"/>
    <w:rsid w:val="5AFBFF76"/>
    <w:rsid w:val="5DFEE0B5"/>
    <w:rsid w:val="5DFF31E1"/>
    <w:rsid w:val="5ECD2736"/>
    <w:rsid w:val="5ECEB5F0"/>
    <w:rsid w:val="5F939C3F"/>
    <w:rsid w:val="5FFAD196"/>
    <w:rsid w:val="678F1E85"/>
    <w:rsid w:val="67AF27C3"/>
    <w:rsid w:val="6ABEB88F"/>
    <w:rsid w:val="6C477F1A"/>
    <w:rsid w:val="6D9E5487"/>
    <w:rsid w:val="6EEF612A"/>
    <w:rsid w:val="6FF76950"/>
    <w:rsid w:val="6FF9B27F"/>
    <w:rsid w:val="73BE4DC6"/>
    <w:rsid w:val="749EB398"/>
    <w:rsid w:val="75E0E3C5"/>
    <w:rsid w:val="75F7FDF9"/>
    <w:rsid w:val="7677FF0F"/>
    <w:rsid w:val="7697E450"/>
    <w:rsid w:val="76C71075"/>
    <w:rsid w:val="76CF2879"/>
    <w:rsid w:val="76FC48E1"/>
    <w:rsid w:val="778E568F"/>
    <w:rsid w:val="77FEEBBE"/>
    <w:rsid w:val="788E845F"/>
    <w:rsid w:val="79FD86DE"/>
    <w:rsid w:val="7B657CFC"/>
    <w:rsid w:val="7BF5334A"/>
    <w:rsid w:val="7BFE7DE8"/>
    <w:rsid w:val="7CF70876"/>
    <w:rsid w:val="7DDE9826"/>
    <w:rsid w:val="7DFAA4C8"/>
    <w:rsid w:val="7DFFF1F7"/>
    <w:rsid w:val="7E7C18DB"/>
    <w:rsid w:val="7EBD8CE6"/>
    <w:rsid w:val="7EDF0649"/>
    <w:rsid w:val="7F774006"/>
    <w:rsid w:val="7F7D7A44"/>
    <w:rsid w:val="7F7F7DF5"/>
    <w:rsid w:val="7F9F95BE"/>
    <w:rsid w:val="7FAD3E60"/>
    <w:rsid w:val="7FB5F34F"/>
    <w:rsid w:val="7FDB3791"/>
    <w:rsid w:val="7FFC3D28"/>
    <w:rsid w:val="7FFF6C8C"/>
    <w:rsid w:val="7FFFA471"/>
    <w:rsid w:val="87DFE7EA"/>
    <w:rsid w:val="89DECC1A"/>
    <w:rsid w:val="9FF737D9"/>
    <w:rsid w:val="A3BDD1D7"/>
    <w:rsid w:val="AB56D868"/>
    <w:rsid w:val="B49E10EE"/>
    <w:rsid w:val="B5FA2940"/>
    <w:rsid w:val="B8CFCE68"/>
    <w:rsid w:val="B9FBF924"/>
    <w:rsid w:val="BAF4DDC8"/>
    <w:rsid w:val="BDFBF3FB"/>
    <w:rsid w:val="BE4F9006"/>
    <w:rsid w:val="BF5ACEB9"/>
    <w:rsid w:val="BFDB351A"/>
    <w:rsid w:val="BFDF37BB"/>
    <w:rsid w:val="BFFDCE58"/>
    <w:rsid w:val="BFFF14CD"/>
    <w:rsid w:val="C6ED30DB"/>
    <w:rsid w:val="CADFFBA7"/>
    <w:rsid w:val="CB7F376E"/>
    <w:rsid w:val="CBDB20A1"/>
    <w:rsid w:val="CE8E11AF"/>
    <w:rsid w:val="CFBFC65D"/>
    <w:rsid w:val="CFDCC21B"/>
    <w:rsid w:val="D2FE2DEE"/>
    <w:rsid w:val="D7BF918B"/>
    <w:rsid w:val="D7FD08CE"/>
    <w:rsid w:val="D7FF32A5"/>
    <w:rsid w:val="D7FF8D7E"/>
    <w:rsid w:val="DB395B09"/>
    <w:rsid w:val="DBECD221"/>
    <w:rsid w:val="DBF7AC4E"/>
    <w:rsid w:val="DCFD5392"/>
    <w:rsid w:val="DD9A8DA5"/>
    <w:rsid w:val="DDE32C9C"/>
    <w:rsid w:val="DDF9F4B4"/>
    <w:rsid w:val="DDFF1907"/>
    <w:rsid w:val="DF5976F2"/>
    <w:rsid w:val="DFF40D98"/>
    <w:rsid w:val="E3FF8E91"/>
    <w:rsid w:val="E7D532C9"/>
    <w:rsid w:val="E7D7C289"/>
    <w:rsid w:val="EACFE6E9"/>
    <w:rsid w:val="EDFD27EF"/>
    <w:rsid w:val="EF3F0FCD"/>
    <w:rsid w:val="EFBBA802"/>
    <w:rsid w:val="EFF78719"/>
    <w:rsid w:val="EFFF583D"/>
    <w:rsid w:val="F3D5EA05"/>
    <w:rsid w:val="F3F4177F"/>
    <w:rsid w:val="F5DA3EBB"/>
    <w:rsid w:val="F5F6EAEE"/>
    <w:rsid w:val="F5FA0303"/>
    <w:rsid w:val="F67F9C89"/>
    <w:rsid w:val="F6BBBF9B"/>
    <w:rsid w:val="F6F52F9D"/>
    <w:rsid w:val="F77FC8E9"/>
    <w:rsid w:val="F7BF0A24"/>
    <w:rsid w:val="F7DF0017"/>
    <w:rsid w:val="F7FED54F"/>
    <w:rsid w:val="F7FFC1EC"/>
    <w:rsid w:val="F9EEFFEB"/>
    <w:rsid w:val="F9FD961D"/>
    <w:rsid w:val="FAEF79E0"/>
    <w:rsid w:val="FAFF9011"/>
    <w:rsid w:val="FBBF8FEA"/>
    <w:rsid w:val="FBBFAA73"/>
    <w:rsid w:val="FBD5EC5D"/>
    <w:rsid w:val="FBF644A6"/>
    <w:rsid w:val="FBFB5484"/>
    <w:rsid w:val="FBFF3DAD"/>
    <w:rsid w:val="FBFF6E2C"/>
    <w:rsid w:val="FCE56704"/>
    <w:rsid w:val="FD3F50C8"/>
    <w:rsid w:val="FD548B7D"/>
    <w:rsid w:val="FD6B8E6D"/>
    <w:rsid w:val="FDE74F9E"/>
    <w:rsid w:val="FE7C2E91"/>
    <w:rsid w:val="FE7DAEF1"/>
    <w:rsid w:val="FE7F6E2E"/>
    <w:rsid w:val="FE8D76F2"/>
    <w:rsid w:val="FEB6AF59"/>
    <w:rsid w:val="FEBFFB46"/>
    <w:rsid w:val="FEEE2D26"/>
    <w:rsid w:val="FEF90D42"/>
    <w:rsid w:val="FF394CE5"/>
    <w:rsid w:val="FF5A25CD"/>
    <w:rsid w:val="FF5E9F12"/>
    <w:rsid w:val="FF6F4DC9"/>
    <w:rsid w:val="FF7B75BC"/>
    <w:rsid w:val="FFA7E944"/>
    <w:rsid w:val="FFACFA76"/>
    <w:rsid w:val="FFD7E21F"/>
    <w:rsid w:val="FFDA8D54"/>
    <w:rsid w:val="FFDFC4BB"/>
    <w:rsid w:val="FFEE7955"/>
    <w:rsid w:val="FFEEF148"/>
    <w:rsid w:val="FFEF8B2B"/>
    <w:rsid w:val="FFFAE629"/>
    <w:rsid w:val="FFFB71B3"/>
    <w:rsid w:val="FFFD4836"/>
    <w:rsid w:val="FFFD83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4"/>
    <w:qFormat/>
    <w:uiPriority w:val="0"/>
    <w:pPr>
      <w:spacing w:before="240" w:after="60"/>
      <w:jc w:val="center"/>
      <w:outlineLvl w:val="0"/>
    </w:pPr>
    <w:rPr>
      <w:rFonts w:ascii="Cambria" w:hAnsi="Cambria" w:eastAsia="宋体" w:cs="Times New Roman"/>
      <w:b/>
      <w:bCs/>
      <w:kern w:val="0"/>
      <w:sz w:val="32"/>
      <w:szCs w:val="32"/>
    </w:rPr>
  </w:style>
  <w:style w:type="table" w:styleId="8">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4"/>
    <w:qFormat/>
    <w:uiPriority w:val="99"/>
    <w:rPr>
      <w:sz w:val="18"/>
      <w:szCs w:val="18"/>
    </w:rPr>
  </w:style>
  <w:style w:type="character" w:customStyle="1" w:styleId="11">
    <w:name w:val="页脚 Char"/>
    <w:basedOn w:val="9"/>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9"/>
    <w:link w:val="2"/>
    <w:semiHidden/>
    <w:qFormat/>
    <w:uiPriority w:val="99"/>
    <w:rPr>
      <w:sz w:val="18"/>
      <w:szCs w:val="18"/>
    </w:rPr>
  </w:style>
  <w:style w:type="character" w:customStyle="1" w:styleId="14">
    <w:name w:val="标题 Char"/>
    <w:basedOn w:val="9"/>
    <w:link w:val="6"/>
    <w:qFormat/>
    <w:uiPriority w:val="0"/>
    <w:rPr>
      <w:rFonts w:ascii="Cambria" w:hAnsi="Cambria" w:eastAsia="宋体" w:cs="Times New Roman"/>
      <w:b/>
      <w:bCs/>
      <w:kern w:val="0"/>
      <w:sz w:val="32"/>
      <w:szCs w:val="32"/>
    </w:rPr>
  </w:style>
  <w:style w:type="character" w:customStyle="1" w:styleId="15">
    <w:name w:val="font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snpi</Company>
  <Pages>6</Pages>
  <Words>334</Words>
  <Characters>1905</Characters>
  <Lines>15</Lines>
  <Paragraphs>4</Paragraphs>
  <TotalTime>3</TotalTime>
  <ScaleCrop>false</ScaleCrop>
  <LinksUpToDate>false</LinksUpToDate>
  <CharactersWithSpaces>2235</CharactersWithSpaces>
  <Application>WPS Office_11.1.0.11403_F1E327BC-269C-435d-A152-05C5408002CA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2021-07-09T07:08:00Z</dcterms:created>
  <dc:creator>未定义</dc:creator>
  <cp:lastModifiedBy>小玉</cp:lastModifiedBy>
  <cp:lastPrinted>2022-04-03T18:58:00Z</cp:lastPrinted>
  <dcterms:modified xsi:type="dcterms:W3CDTF">2022-05-20T07:34:33Z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2052-11.1.0.11403</vt:lpwstr>
  </property>
  <property fmtid="{D5CDD505-2E9C-101B-9397-08002B2CF9AE}" pid="3" name="ICV">
    <vt:lpwstr>AF1A3CE6CCEC4393BF603C1E48E444EE</vt:lpwstr>
  </property>
</Properties>
</file>