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方正仿宋_GBK" w:cs="Times New Roman"/>
          <w:sz w:val="32"/>
          <w:szCs w:val="32"/>
        </w:rPr>
      </w:pPr>
      <w:bookmarkStart w:id="2" w:name="_GoBack"/>
      <w:bookmarkEnd w:id="2"/>
      <w:bookmarkStart w:id="0" w:name="bookmark0"/>
    </w:p>
    <w:p>
      <w:pPr>
        <w:spacing w:afterLines="50"/>
        <w:jc w:val="center"/>
        <w:rPr>
          <w:rFonts w:ascii="方正小标宋_GBK" w:hAnsi="宋体" w:eastAsia="方正小标宋_GBK" w:cs="Times New Roman"/>
          <w:spacing w:val="-3"/>
          <w:sz w:val="36"/>
          <w:szCs w:val="36"/>
        </w:rPr>
      </w:pPr>
      <w:r>
        <w:rPr>
          <w:rFonts w:hint="eastAsia" w:ascii="方正小标宋_GBK" w:hAnsi="宋体" w:eastAsia="方正小标宋_GBK" w:cs="Times New Roman"/>
          <w:spacing w:val="-3"/>
          <w:sz w:val="36"/>
          <w:szCs w:val="36"/>
        </w:rPr>
        <w:t>风电场利用率监测统计管理办法</w:t>
      </w:r>
    </w:p>
    <w:p>
      <w:pPr>
        <w:spacing w:afterLines="50"/>
        <w:jc w:val="center"/>
        <w:rPr>
          <w:rFonts w:ascii="方正小标宋_GBK" w:hAnsi="宋体" w:eastAsia="方正小标宋_GBK" w:cs="Times New Roman"/>
          <w:spacing w:val="-3"/>
          <w:sz w:val="36"/>
          <w:szCs w:val="36"/>
        </w:rPr>
      </w:pPr>
    </w:p>
    <w:bookmarkEnd w:id="0"/>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黑体" w:cs="Times New Roman"/>
          <w:bCs/>
          <w:color w:val="000000" w:themeColor="text1"/>
          <w:sz w:val="32"/>
          <w:szCs w:val="32"/>
        </w:rPr>
        <w:t>第一条</w:t>
      </w:r>
      <w:r>
        <w:rPr>
          <w:rFonts w:ascii="Times New Roman" w:hAnsi="Times New Roman" w:eastAsia="黑体" w:cs="Times New Roman"/>
          <w:bCs/>
          <w:color w:val="000000" w:themeColor="text1"/>
          <w:sz w:val="32"/>
          <w:szCs w:val="32"/>
        </w:rPr>
        <w:t xml:space="preserve"> </w:t>
      </w:r>
      <w:r>
        <w:rPr>
          <w:rFonts w:hint="eastAsia" w:ascii="Times New Roman" w:hAnsi="Times New Roman" w:eastAsia="方正仿宋_GBK" w:cs="Times New Roman"/>
          <w:color w:val="000000" w:themeColor="text1"/>
          <w:sz w:val="32"/>
          <w:szCs w:val="32"/>
        </w:rPr>
        <w:t>为进一步规范完善风电场受限电量</w:t>
      </w:r>
      <w:r>
        <w:rPr>
          <w:rFonts w:hint="eastAsia" w:ascii="Times New Roman" w:hAnsi="Times New Roman" w:eastAsia="方正仿宋_GBK" w:cs="Times New Roman"/>
          <w:color w:val="000000" w:themeColor="text1"/>
          <w:sz w:val="32"/>
          <w:szCs w:val="32"/>
        </w:rPr>
        <w:t>和</w:t>
      </w:r>
      <w:r>
        <w:rPr>
          <w:rFonts w:hint="eastAsia" w:ascii="Times New Roman" w:hAnsi="Times New Roman" w:eastAsia="方正仿宋_GBK" w:cs="Times New Roman"/>
          <w:color w:val="000000" w:themeColor="text1"/>
          <w:sz w:val="32"/>
          <w:szCs w:val="32"/>
        </w:rPr>
        <w:t>利用率的</w:t>
      </w:r>
      <w:r>
        <w:rPr>
          <w:rFonts w:hint="eastAsia" w:ascii="Times New Roman" w:hAnsi="Times New Roman" w:eastAsia="方正仿宋_GBK" w:cs="Times New Roman"/>
          <w:color w:val="000000" w:themeColor="text1"/>
          <w:sz w:val="32"/>
          <w:szCs w:val="32"/>
        </w:rPr>
        <w:t>监测</w:t>
      </w:r>
      <w:r>
        <w:rPr>
          <w:rFonts w:hint="eastAsia" w:ascii="Times New Roman" w:hAnsi="Times New Roman" w:eastAsia="方正仿宋_GBK" w:cs="Times New Roman"/>
          <w:color w:val="000000" w:themeColor="text1"/>
          <w:sz w:val="32"/>
          <w:szCs w:val="32"/>
        </w:rPr>
        <w:t>统计工作，促进风电消纳和风电行业高质量发展，制定本办法。</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黑体" w:cs="Times New Roman"/>
          <w:bCs/>
          <w:color w:val="000000" w:themeColor="text1"/>
          <w:sz w:val="32"/>
          <w:szCs w:val="32"/>
        </w:rPr>
        <w:t>第二条</w:t>
      </w:r>
      <w:r>
        <w:rPr>
          <w:rFonts w:ascii="Times New Roman" w:hAnsi="Times New Roman" w:eastAsia="黑体" w:cs="Times New Roman"/>
          <w:bCs/>
          <w:color w:val="000000" w:themeColor="text1"/>
          <w:sz w:val="32"/>
          <w:szCs w:val="32"/>
        </w:rPr>
        <w:t xml:space="preserve"> </w:t>
      </w:r>
      <w:r>
        <w:rPr>
          <w:rFonts w:hint="eastAsia" w:ascii="Times New Roman" w:hAnsi="Times New Roman" w:eastAsia="方正仿宋_GBK" w:cs="Times New Roman"/>
          <w:color w:val="000000" w:themeColor="text1"/>
          <w:sz w:val="32"/>
          <w:szCs w:val="32"/>
        </w:rPr>
        <w:t>本办法适用于全国各级电网企业及并网风电场。</w:t>
      </w:r>
    </w:p>
    <w:p>
      <w:pPr>
        <w:snapToGrid w:val="0"/>
        <w:spacing w:line="588" w:lineRule="exact"/>
        <w:ind w:firstLine="640" w:firstLineChars="200"/>
        <w:rPr>
          <w:rFonts w:ascii="方正仿宋_GBK" w:hAnsi="Times New Roman" w:eastAsia="方正仿宋_GBK" w:cs="Times New Roman"/>
          <w:bCs/>
          <w:color w:val="000000" w:themeColor="text1"/>
          <w:sz w:val="32"/>
          <w:szCs w:val="32"/>
        </w:rPr>
      </w:pPr>
      <w:r>
        <w:rPr>
          <w:rFonts w:hint="eastAsia" w:ascii="Times New Roman" w:hAnsi="Times New Roman" w:eastAsia="黑体" w:cs="Times New Roman"/>
          <w:bCs/>
          <w:color w:val="000000" w:themeColor="text1"/>
          <w:sz w:val="32"/>
          <w:szCs w:val="32"/>
        </w:rPr>
        <w:t>第三条</w:t>
      </w:r>
      <w:r>
        <w:rPr>
          <w:rFonts w:ascii="Times New Roman" w:hAnsi="Times New Roman" w:eastAsia="黑体" w:cs="Times New Roman"/>
          <w:bCs/>
          <w:color w:val="000000" w:themeColor="text1"/>
          <w:sz w:val="32"/>
          <w:szCs w:val="32"/>
        </w:rPr>
        <w:t xml:space="preserve"> </w:t>
      </w:r>
      <w:r>
        <w:rPr>
          <w:rFonts w:hint="eastAsia" w:ascii="Times New Roman" w:hAnsi="Times New Roman" w:eastAsia="方正仿宋_GBK" w:cs="Times New Roman"/>
          <w:color w:val="000000" w:themeColor="text1"/>
          <w:sz w:val="32"/>
          <w:szCs w:val="32"/>
        </w:rPr>
        <w:t>本办法中风电场受限电量是指排除场内设备故障、缺陷或检修等自身原因影响后，风电场可发而未发出的电量。</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黑体" w:cs="Times New Roman"/>
          <w:bCs/>
          <w:color w:val="000000" w:themeColor="text1"/>
          <w:sz w:val="32"/>
          <w:szCs w:val="32"/>
        </w:rPr>
        <w:t>第四条</w:t>
      </w:r>
      <w:r>
        <w:rPr>
          <w:rFonts w:ascii="Times New Roman" w:hAnsi="Times New Roman" w:eastAsia="黑体" w:cs="Times New Roman"/>
          <w:bCs/>
          <w:color w:val="000000" w:themeColor="text1"/>
          <w:sz w:val="32"/>
          <w:szCs w:val="32"/>
        </w:rPr>
        <w:t xml:space="preserve"> </w:t>
      </w:r>
      <w:r>
        <w:rPr>
          <w:rFonts w:hint="eastAsia" w:ascii="Times New Roman" w:hAnsi="Times New Roman" w:eastAsia="方正仿宋_GBK" w:cs="Times New Roman"/>
          <w:color w:val="000000" w:themeColor="text1"/>
          <w:sz w:val="32"/>
          <w:szCs w:val="32"/>
        </w:rPr>
        <w:t>风电企业应在风电场开发建设、运行等方面，电网企业应在电网规划建设和调度运行管理等方面，分别落实有效措施，共同促进风电消纳。风电场出力受限时，风电企业和电网企业应相互配合做好受限电量统计工作。</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黑体" w:cs="Times New Roman"/>
          <w:bCs/>
          <w:color w:val="000000" w:themeColor="text1"/>
          <w:sz w:val="32"/>
          <w:szCs w:val="32"/>
        </w:rPr>
        <w:t>第五条</w:t>
      </w:r>
      <w:r>
        <w:rPr>
          <w:rFonts w:ascii="Times New Roman" w:hAnsi="Times New Roman" w:eastAsia="黑体" w:cs="Times New Roman"/>
          <w:bCs/>
          <w:color w:val="000000" w:themeColor="text1"/>
          <w:sz w:val="32"/>
          <w:szCs w:val="32"/>
        </w:rPr>
        <w:t xml:space="preserve"> </w:t>
      </w:r>
      <w:r>
        <w:rPr>
          <w:rFonts w:hint="eastAsia" w:ascii="Times New Roman" w:hAnsi="Times New Roman" w:eastAsia="方正仿宋_GBK" w:cs="Times New Roman"/>
          <w:bCs/>
          <w:color w:val="000000" w:themeColor="text1"/>
          <w:sz w:val="32"/>
          <w:szCs w:val="32"/>
        </w:rPr>
        <w:t>风电场每日</w:t>
      </w:r>
      <w:r>
        <w:rPr>
          <w:rFonts w:hint="eastAsia" w:ascii="Times New Roman" w:hAnsi="Times New Roman" w:eastAsia="方正仿宋_GBK" w:cs="Times New Roman"/>
          <w:color w:val="000000" w:themeColor="text1"/>
          <w:sz w:val="32"/>
          <w:szCs w:val="32"/>
        </w:rPr>
        <w:t>受限电量按如下公式计算：</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受限电量</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受限时段风电场可用机组可发电量－受限时段风电场实发电量</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其中，风电场可用机组可发电量指风电场内除受场内设备故障、缺陷或检修等因素影响风电机组外，剩余可用风电机组在所处自然条件和设备状态下（不考虑电力系统运行因素影响），在相应时间内理论上可发出的电量。</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系统原因受限电量</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受限电量－特殊原因受限电量</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其中，系统原因受限电量是指风电场受电力系统用电负荷及调峰能力、网架约束、安全稳定运行等因素影响可发而未能发出的电量。</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特殊原因受限电量包括以下情况：</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（一）因台风、地震、洪水、覆冰、泥石流等不可抗因素导致的风电场出力受限；</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（二）风电场处于并网调试阶段或自动发电控制系统（</w:t>
      </w:r>
      <w:r>
        <w:rPr>
          <w:rFonts w:ascii="Times New Roman" w:hAnsi="Times New Roman" w:eastAsia="方正仿宋_GBK" w:cs="Times New Roman"/>
          <w:color w:val="000000" w:themeColor="text1"/>
          <w:sz w:val="32"/>
          <w:szCs w:val="32"/>
        </w:rPr>
        <w:t>AGC</w:t>
      </w:r>
      <w:r>
        <w:rPr>
          <w:rFonts w:hint="eastAsia" w:ascii="Times New Roman" w:hAnsi="Times New Roman" w:eastAsia="方正仿宋_GBK" w:cs="Times New Roman"/>
          <w:color w:val="000000" w:themeColor="text1"/>
          <w:sz w:val="32"/>
          <w:szCs w:val="32"/>
        </w:rPr>
        <w:t>）测试阶段、风电场以临时方案接入系统时输送功率超过输变电设备送电极限、风电场出力超出场站并网调度协议载明的装机容量等情况下造成的出力受限；</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（三）风电场由于并网技术条件不满足相关标准要求，或违反并网管理要求等原因进行整改造成的出力受限；</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（四）由于风电场送出输变电设备正常计划检修造成的出力受限；</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（五）市场化方式并网风电场因未落实并网条件导致的出力受限；</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（六）风电场因市场化交易决策不当导致的出力受限；</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（七）因风电场外重大工程施工、重大社会活动、执行特殊保电任务导致的出力受限。</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多种特殊原因同时产生受限电量时，统计时按照主要原因归纳为上述某一类情况。</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黑体" w:cs="Times New Roman"/>
          <w:bCs/>
          <w:color w:val="000000" w:themeColor="text1"/>
          <w:sz w:val="32"/>
          <w:szCs w:val="32"/>
        </w:rPr>
        <w:t>第六条</w:t>
      </w:r>
      <w:r>
        <w:rPr>
          <w:rFonts w:ascii="Times New Roman" w:hAnsi="Times New Roman" w:eastAsia="黑体" w:cs="Times New Roman"/>
          <w:bCs/>
          <w:color w:val="000000" w:themeColor="text1"/>
          <w:sz w:val="32"/>
          <w:szCs w:val="32"/>
        </w:rPr>
        <w:t xml:space="preserve"> </w:t>
      </w:r>
      <w:r>
        <w:rPr>
          <w:rFonts w:hint="eastAsia" w:ascii="Times New Roman" w:hAnsi="Times New Roman" w:eastAsia="方正仿宋_GBK" w:cs="Times New Roman"/>
          <w:color w:val="000000" w:themeColor="text1"/>
          <w:sz w:val="32"/>
          <w:szCs w:val="32"/>
        </w:rPr>
        <w:t>风电受限电量计算方法</w:t>
      </w:r>
      <w:r>
        <w:rPr>
          <w:rFonts w:hint="eastAsia" w:ascii="Times New Roman" w:hAnsi="Times New Roman" w:eastAsia="方正仿宋_GBK" w:cs="Times New Roman"/>
          <w:color w:val="000000" w:themeColor="text1"/>
          <w:sz w:val="32"/>
          <w:szCs w:val="32"/>
        </w:rPr>
        <w:t>主要</w:t>
      </w:r>
      <w:r>
        <w:rPr>
          <w:rFonts w:hint="eastAsia" w:ascii="Times New Roman" w:hAnsi="Times New Roman" w:eastAsia="方正仿宋_GBK" w:cs="Times New Roman"/>
          <w:color w:val="000000" w:themeColor="text1"/>
          <w:sz w:val="32"/>
          <w:szCs w:val="32"/>
        </w:rPr>
        <w:t>釆用机舱风速法，</w:t>
      </w:r>
      <w:r>
        <w:rPr>
          <w:rFonts w:hint="eastAsia" w:ascii="Times New Roman" w:hAnsi="Times New Roman" w:eastAsia="方正仿宋_GBK" w:cs="Times New Roman"/>
          <w:color w:val="000000" w:themeColor="text1"/>
          <w:sz w:val="32"/>
          <w:szCs w:val="32"/>
          <w:u w:val="none"/>
        </w:rPr>
        <w:t>各地区风电场根据设备条件差异</w:t>
      </w:r>
      <w:r>
        <w:rPr>
          <w:rFonts w:hint="eastAsia" w:ascii="Times New Roman" w:hAnsi="Times New Roman" w:eastAsia="方正仿宋_GBK" w:cs="Times New Roman"/>
          <w:color w:val="000000" w:themeColor="text1"/>
          <w:sz w:val="32"/>
          <w:szCs w:val="32"/>
        </w:rPr>
        <w:t>也可</w:t>
      </w:r>
      <w:r>
        <w:rPr>
          <w:rFonts w:hint="eastAsia" w:ascii="Times New Roman" w:hAnsi="Times New Roman" w:eastAsia="方正仿宋_GBK" w:cs="Times New Roman"/>
          <w:color w:val="000000" w:themeColor="text1"/>
          <w:sz w:val="32"/>
          <w:szCs w:val="32"/>
        </w:rPr>
        <w:t>结合实际</w:t>
      </w:r>
      <w:r>
        <w:rPr>
          <w:rFonts w:hint="eastAsia" w:ascii="Times New Roman" w:hAnsi="Times New Roman" w:eastAsia="方正仿宋_GBK" w:cs="Times New Roman"/>
          <w:color w:val="000000" w:themeColor="text1"/>
          <w:sz w:val="32"/>
          <w:szCs w:val="32"/>
        </w:rPr>
        <w:t>釆用样板机法、测风塔外推法等</w:t>
      </w:r>
      <w:r>
        <w:rPr>
          <w:rFonts w:hint="eastAsia" w:ascii="Times New Roman" w:hAnsi="Times New Roman" w:eastAsia="方正仿宋_GBK" w:cs="Times New Roman"/>
          <w:color w:val="000000" w:themeColor="text1"/>
          <w:sz w:val="32"/>
          <w:szCs w:val="32"/>
        </w:rPr>
        <w:t>其他经过验证的计算</w:t>
      </w:r>
      <w:r>
        <w:rPr>
          <w:rFonts w:hint="eastAsia" w:ascii="Times New Roman" w:hAnsi="Times New Roman" w:eastAsia="方正仿宋_GBK" w:cs="Times New Roman"/>
          <w:color w:val="000000" w:themeColor="text1"/>
          <w:sz w:val="32"/>
          <w:szCs w:val="32"/>
        </w:rPr>
        <w:t>方法；具体可由风电企业与所属电网调度机构协商确定。</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机舱风速法是指</w:t>
      </w:r>
      <w:r>
        <w:rPr>
          <w:rFonts w:hint="eastAsia" w:ascii="Times New Roman" w:hAnsi="Times New Roman" w:eastAsia="方正仿宋_GBK" w:cs="Times New Roman"/>
          <w:color w:val="000000" w:themeColor="text1"/>
          <w:sz w:val="32"/>
          <w:szCs w:val="32"/>
        </w:rPr>
        <w:t>基于</w:t>
      </w:r>
      <w:r>
        <w:rPr>
          <w:rFonts w:hint="eastAsia" w:ascii="Times New Roman" w:hAnsi="Times New Roman" w:eastAsia="方正仿宋_GBK" w:cs="Times New Roman"/>
          <w:color w:val="000000" w:themeColor="text1"/>
          <w:sz w:val="32"/>
          <w:szCs w:val="32"/>
        </w:rPr>
        <w:t>风电机组实际风速</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功率曲线，通过实测的机舱风速得出风机理论发电功率，进而计算风电场受限电量的方法。样板机法是指根据风电场风机地理位置和地势分布，在选定一定数量“样板机”（一般不超过风电场全部风机数量的</w:t>
      </w:r>
      <w:r>
        <w:rPr>
          <w:rFonts w:ascii="Times New Roman" w:hAnsi="Times New Roman" w:eastAsia="方正仿宋_GBK" w:cs="Times New Roman"/>
          <w:color w:val="000000" w:themeColor="text1"/>
          <w:sz w:val="32"/>
          <w:szCs w:val="32"/>
        </w:rPr>
        <w:t>10%</w:t>
      </w:r>
      <w:r>
        <w:rPr>
          <w:rFonts w:hint="eastAsia" w:ascii="Times New Roman" w:hAnsi="Times New Roman" w:eastAsia="方正仿宋_GBK" w:cs="Times New Roman"/>
          <w:color w:val="000000" w:themeColor="text1"/>
          <w:sz w:val="32"/>
          <w:szCs w:val="32"/>
        </w:rPr>
        <w:t>，“样板机”不限电）基础上，通过“样板机”电量推算得出限电风机理论发电功率，进而计算受限电量的方法。测风塔外推法是在测风塔优化选址基础上，根据风电场所处区域的地形、地貌，采用微观气象学、计算流体力学理论，将测风塔风速、风向推算至风电场每台风机轮毂高度处的风速、风向，并通过风速</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功率曲线得出风机理论发电功率，进而计算受限电量的方法。</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黑体" w:cs="Times New Roman"/>
          <w:bCs/>
          <w:color w:val="000000" w:themeColor="text1"/>
          <w:sz w:val="32"/>
          <w:szCs w:val="32"/>
        </w:rPr>
        <w:t>第七条</w:t>
      </w:r>
      <w:r>
        <w:rPr>
          <w:rFonts w:ascii="Times New Roman" w:hAnsi="Times New Roman" w:eastAsia="黑体" w:cs="Times New Roman"/>
          <w:bCs/>
          <w:color w:val="000000" w:themeColor="text1"/>
          <w:sz w:val="32"/>
          <w:szCs w:val="32"/>
        </w:rPr>
        <w:t xml:space="preserve"> </w:t>
      </w:r>
      <w:r>
        <w:rPr>
          <w:rFonts w:hint="eastAsia" w:ascii="Times New Roman" w:hAnsi="Times New Roman" w:eastAsia="方正仿宋_GBK" w:cs="Times New Roman"/>
          <w:color w:val="000000" w:themeColor="text1"/>
          <w:sz w:val="32"/>
          <w:szCs w:val="32"/>
        </w:rPr>
        <w:t>风电场受限时段以电力调度机构下达限电指令和解除限电指令时间为准，或以调度自动化系统自动控制时段为准。电力调度机构和风电场均应准确记录限电时间、出力限值和原因。</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黑体" w:hAnsi="Times New Roman" w:eastAsia="黑体" w:cs="Times New Roman"/>
          <w:color w:val="000000" w:themeColor="text1"/>
          <w:sz w:val="32"/>
          <w:szCs w:val="32"/>
        </w:rPr>
        <w:t>第八条</w:t>
      </w:r>
      <w:r>
        <w:rPr>
          <w:rFonts w:ascii="Times New Roman" w:hAnsi="Times New Roman" w:eastAsia="方正仿宋_GBK" w:cs="Times New Roman"/>
          <w:color w:val="000000" w:themeColor="text1"/>
          <w:sz w:val="32"/>
          <w:szCs w:val="32"/>
        </w:rPr>
        <w:t xml:space="preserve"> </w:t>
      </w:r>
      <w:r>
        <w:rPr>
          <w:rFonts w:hint="eastAsia" w:ascii="Times New Roman" w:hAnsi="Times New Roman" w:eastAsia="方正仿宋_GBK" w:cs="Times New Roman"/>
          <w:color w:val="000000" w:themeColor="text1"/>
          <w:sz w:val="32"/>
          <w:szCs w:val="32"/>
        </w:rPr>
        <w:t>风电场定期向电力调度机构提供风电场受限电量计算所需的基础数据和满足质量、精度要求的实时运行数据。电力调度机构定期对风电场所提供数据的准确性、合理性进行校核。电力调度机构和风电场定期在风电场出力不受限时段（不少于</w:t>
      </w:r>
      <w:r>
        <w:rPr>
          <w:rFonts w:ascii="Times New Roman" w:hAnsi="Times New Roman" w:eastAsia="方正仿宋_GBK" w:cs="Times New Roman"/>
          <w:color w:val="000000" w:themeColor="text1"/>
          <w:sz w:val="32"/>
          <w:szCs w:val="32"/>
        </w:rPr>
        <w:t>6</w:t>
      </w:r>
      <w:r>
        <w:rPr>
          <w:rFonts w:hint="eastAsia" w:ascii="Times New Roman" w:hAnsi="Times New Roman" w:eastAsia="方正仿宋_GBK" w:cs="Times New Roman"/>
          <w:color w:val="000000" w:themeColor="text1"/>
          <w:sz w:val="32"/>
          <w:szCs w:val="32"/>
        </w:rPr>
        <w:t>小时）对所采用计算方法的准确性进行测试，偏差较大时应及时调整相关方法策略。</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黑体" w:cs="Times New Roman"/>
          <w:sz w:val="32"/>
          <w:szCs w:val="32"/>
        </w:rPr>
        <w:t>第九条</w:t>
      </w:r>
      <w:r>
        <w:rPr>
          <w:rFonts w:ascii="Times New Roman" w:hAnsi="Times New Roman" w:eastAsia="黑体" w:cs="Times New Roman"/>
          <w:color w:val="000000" w:themeColor="text1"/>
          <w:sz w:val="32"/>
          <w:szCs w:val="32"/>
        </w:rPr>
        <w:t xml:space="preserve"> </w:t>
      </w:r>
      <w:r>
        <w:rPr>
          <w:rFonts w:hint="eastAsia" w:ascii="Times New Roman" w:hAnsi="Times New Roman" w:eastAsia="方正仿宋_GBK" w:cs="Times New Roman"/>
          <w:color w:val="000000" w:themeColor="text1"/>
          <w:sz w:val="32"/>
          <w:szCs w:val="32"/>
        </w:rPr>
        <w:t>风电场利用率和地区风电利用率区分两种情况按如下公式计算：</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（一）考虑全部原因受限电量情况</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风电场利用率</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风电场实际发电量</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风电场可用机组可发电量</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地区风电利用率</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∑风电场实际发电量</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∑风电场可用机组可发电量</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（二）仅考虑系统原因受限电量情况</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风电场利用率</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（风电场可用机组可发电量－系统原因受限电量）</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风电场可用机组可发电量</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地区风电利用率</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∑（风电场可用机组可发电量－系统原因受限电量）</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∑风电场可用机组可发电量</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黑体" w:cs="Times New Roman"/>
          <w:bCs/>
          <w:color w:val="000000" w:themeColor="text1"/>
          <w:sz w:val="32"/>
          <w:szCs w:val="32"/>
        </w:rPr>
        <w:t>第十条</w:t>
      </w:r>
      <w:r>
        <w:rPr>
          <w:rFonts w:ascii="Times New Roman" w:hAnsi="Times New Roman" w:eastAsia="黑体" w:cs="Times New Roman"/>
          <w:bCs/>
          <w:color w:val="000000" w:themeColor="text1"/>
          <w:sz w:val="32"/>
          <w:szCs w:val="32"/>
        </w:rPr>
        <w:t xml:space="preserve"> </w:t>
      </w:r>
      <w:r>
        <w:rPr>
          <w:rFonts w:hint="eastAsia" w:ascii="Times New Roman" w:hAnsi="Times New Roman" w:eastAsia="方正仿宋_GBK" w:cs="Times New Roman"/>
          <w:color w:val="000000" w:themeColor="text1"/>
          <w:sz w:val="32"/>
          <w:szCs w:val="32"/>
        </w:rPr>
        <w:t>风电场发电数据报送以单个风电场为单元。各风电场于每月</w:t>
      </w:r>
      <w:r>
        <w:rPr>
          <w:rFonts w:ascii="Times New Roman" w:hAnsi="Times New Roman" w:eastAsia="方正仿宋_GBK" w:cs="Times New Roman"/>
          <w:color w:val="000000" w:themeColor="text1"/>
          <w:sz w:val="32"/>
          <w:szCs w:val="32"/>
        </w:rPr>
        <w:t>5</w:t>
      </w:r>
      <w:r>
        <w:rPr>
          <w:rFonts w:hint="eastAsia" w:ascii="Times New Roman" w:hAnsi="Times New Roman" w:eastAsia="方正仿宋_GBK" w:cs="Times New Roman"/>
          <w:color w:val="000000" w:themeColor="text1"/>
          <w:sz w:val="32"/>
          <w:szCs w:val="32"/>
        </w:rPr>
        <w:t>日前将风电场上月月度发电信息表（</w:t>
      </w:r>
      <w:r>
        <w:rPr>
          <w:rFonts w:hint="eastAsia" w:ascii="Times New Roman" w:hAnsi="Times New Roman" w:eastAsia="方正仿宋_GBK" w:cs="Times New Roman"/>
          <w:color w:val="000000" w:themeColor="text1"/>
          <w:sz w:val="32"/>
          <w:szCs w:val="32"/>
        </w:rPr>
        <w:t>附件</w:t>
      </w:r>
      <w:r>
        <w:rPr>
          <w:rFonts w:ascii="Times New Roman" w:hAnsi="Times New Roman" w:eastAsia="方正仿宋_GBK" w:cs="Times New Roman"/>
          <w:color w:val="000000" w:themeColor="text1"/>
          <w:sz w:val="32"/>
          <w:szCs w:val="32"/>
        </w:rPr>
        <w:t>1</w:t>
      </w:r>
      <w:r>
        <w:rPr>
          <w:rFonts w:hint="eastAsia" w:ascii="Times New Roman" w:hAnsi="Times New Roman" w:eastAsia="方正仿宋_GBK" w:cs="Times New Roman"/>
          <w:color w:val="000000" w:themeColor="text1"/>
          <w:sz w:val="32"/>
          <w:szCs w:val="32"/>
        </w:rPr>
        <w:t>）报送至相应电力调度机构，同时在国家可再生能源信息管理平台和全国新能源电力消纳监测预警平台填报。</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黑体" w:cs="Times New Roman"/>
          <w:bCs/>
          <w:color w:val="000000" w:themeColor="text1"/>
          <w:sz w:val="32"/>
          <w:szCs w:val="32"/>
        </w:rPr>
        <w:t>第十一条</w:t>
      </w:r>
      <w:r>
        <w:rPr>
          <w:rFonts w:ascii="Times New Roman" w:hAnsi="Times New Roman" w:eastAsia="黑体" w:cs="Times New Roman"/>
          <w:bCs/>
          <w:color w:val="000000" w:themeColor="text1"/>
          <w:sz w:val="32"/>
          <w:szCs w:val="32"/>
        </w:rPr>
        <w:t xml:space="preserve"> </w:t>
      </w:r>
      <w:r>
        <w:rPr>
          <w:rFonts w:hint="eastAsia" w:ascii="Times New Roman" w:hAnsi="Times New Roman" w:eastAsia="方正仿宋_GBK" w:cs="Times New Roman"/>
          <w:color w:val="000000" w:themeColor="text1"/>
          <w:sz w:val="32"/>
          <w:szCs w:val="32"/>
        </w:rPr>
        <w:t>省级电网企业对其调度机构调度范围内风电场每月报送数据进行汇总、整理、分析和校核，在每月</w:t>
      </w:r>
      <w:r>
        <w:rPr>
          <w:rFonts w:ascii="Times New Roman" w:hAnsi="Times New Roman" w:eastAsia="方正仿宋_GBK" w:cs="Times New Roman"/>
          <w:color w:val="000000" w:themeColor="text1"/>
          <w:sz w:val="32"/>
          <w:szCs w:val="32"/>
        </w:rPr>
        <w:t>15</w:t>
      </w:r>
      <w:r>
        <w:rPr>
          <w:rFonts w:hint="eastAsia" w:ascii="Times New Roman" w:hAnsi="Times New Roman" w:eastAsia="方正仿宋_GBK" w:cs="Times New Roman"/>
          <w:color w:val="000000" w:themeColor="text1"/>
          <w:sz w:val="32"/>
          <w:szCs w:val="32"/>
        </w:rPr>
        <w:t>日前向国家能源局当地派出机构报送</w:t>
      </w:r>
      <w:r>
        <w:rPr>
          <w:rFonts w:hint="eastAsia" w:ascii="Times New Roman" w:hAnsi="Times New Roman" w:eastAsia="方正仿宋_GBK" w:cs="Times New Roman"/>
          <w:color w:val="000000" w:themeColor="text1"/>
          <w:sz w:val="32"/>
          <w:szCs w:val="32"/>
        </w:rPr>
        <w:t>各省（区、市）</w:t>
      </w:r>
      <w:r>
        <w:rPr>
          <w:rFonts w:hint="eastAsia" w:ascii="Times New Roman" w:hAnsi="Times New Roman" w:eastAsia="方正仿宋_GBK" w:cs="Times New Roman"/>
          <w:color w:val="000000" w:themeColor="text1"/>
          <w:sz w:val="32"/>
          <w:szCs w:val="32"/>
        </w:rPr>
        <w:t>风电场月度发电信息报表（</w:t>
      </w:r>
      <w:r>
        <w:rPr>
          <w:rFonts w:hint="eastAsia" w:ascii="Times New Roman" w:hAnsi="Times New Roman" w:eastAsia="方正仿宋_GBK" w:cs="Times New Roman"/>
          <w:color w:val="000000" w:themeColor="text1"/>
          <w:sz w:val="32"/>
          <w:szCs w:val="32"/>
        </w:rPr>
        <w:t>附件</w:t>
      </w:r>
      <w:r>
        <w:rPr>
          <w:rFonts w:ascii="Times New Roman" w:hAnsi="Times New Roman" w:eastAsia="方正仿宋_GBK" w:cs="Times New Roman"/>
          <w:color w:val="000000" w:themeColor="text1"/>
          <w:sz w:val="32"/>
          <w:szCs w:val="32"/>
        </w:rPr>
        <w:t>2</w:t>
      </w:r>
      <w:r>
        <w:rPr>
          <w:rFonts w:hint="eastAsia" w:ascii="Times New Roman" w:hAnsi="Times New Roman" w:eastAsia="方正仿宋_GBK" w:cs="Times New Roman"/>
          <w:color w:val="000000" w:themeColor="text1"/>
          <w:sz w:val="32"/>
          <w:szCs w:val="32"/>
        </w:rPr>
        <w:t>），同时在国家可再生能源信息管理平台和全国新能源电力消纳监测预警平台填报，并向其调度机构调度范围内各风电场披露。</w:t>
      </w:r>
    </w:p>
    <w:p>
      <w:pPr>
        <w:snapToGrid w:val="0"/>
        <w:spacing w:line="588" w:lineRule="exact"/>
        <w:ind w:firstLine="640" w:firstLineChars="200"/>
        <w:rPr>
          <w:rFonts w:ascii="Times New Roman" w:hAnsi="Times New Roman" w:eastAsia="黑体" w:cs="Times New Roman"/>
          <w:bCs/>
          <w:color w:val="000000" w:themeColor="text1"/>
          <w:sz w:val="32"/>
          <w:szCs w:val="32"/>
        </w:rPr>
      </w:pPr>
      <w:r>
        <w:rPr>
          <w:rFonts w:hint="eastAsia" w:ascii="Times New Roman" w:hAnsi="Times New Roman" w:eastAsia="黑体" w:cs="Times New Roman"/>
          <w:color w:val="000000" w:themeColor="text1"/>
          <w:sz w:val="32"/>
          <w:szCs w:val="32"/>
        </w:rPr>
        <w:t>第十二条</w:t>
      </w:r>
      <w:r>
        <w:rPr>
          <w:rFonts w:ascii="Times New Roman" w:hAnsi="Times New Roman" w:eastAsia="黑体" w:cs="Times New Roman"/>
          <w:color w:val="000000" w:themeColor="text1"/>
          <w:sz w:val="32"/>
          <w:szCs w:val="32"/>
        </w:rPr>
        <w:t xml:space="preserve"> </w:t>
      </w:r>
      <w:r>
        <w:rPr>
          <w:rFonts w:hint="eastAsia" w:ascii="Times New Roman" w:hAnsi="Times New Roman" w:eastAsia="方正仿宋_GBK" w:cs="Times New Roman"/>
          <w:color w:val="000000" w:themeColor="text1"/>
          <w:sz w:val="32"/>
          <w:szCs w:val="32"/>
        </w:rPr>
        <w:t>风电场如对省级电网企业每月披露结果存在异议，可及时联系相应电力调度机构进行校验修正，并向电力调度机构提供相关依据；对校验修正结果仍有异议的，可申请国家能源局</w:t>
      </w:r>
      <w:r>
        <w:rPr>
          <w:rFonts w:hint="eastAsia" w:ascii="Times New Roman" w:hAnsi="Times New Roman" w:eastAsia="方正仿宋_GBK" w:cs="Times New Roman"/>
          <w:color w:val="000000" w:themeColor="text1"/>
          <w:sz w:val="32"/>
          <w:szCs w:val="32"/>
        </w:rPr>
        <w:t>当地</w:t>
      </w:r>
      <w:r>
        <w:rPr>
          <w:rFonts w:hint="eastAsia" w:ascii="Times New Roman" w:hAnsi="Times New Roman" w:eastAsia="方正仿宋_GBK" w:cs="Times New Roman"/>
          <w:color w:val="000000" w:themeColor="text1"/>
          <w:sz w:val="32"/>
          <w:szCs w:val="32"/>
        </w:rPr>
        <w:t>派出机构</w:t>
      </w:r>
      <w:r>
        <w:rPr>
          <w:rFonts w:hint="eastAsia" w:ascii="Times New Roman" w:hAnsi="Times New Roman" w:eastAsia="方正仿宋_GBK" w:cs="Times New Roman"/>
          <w:color w:val="000000" w:themeColor="text1"/>
          <w:sz w:val="32"/>
          <w:szCs w:val="32"/>
        </w:rPr>
        <w:t>督促</w:t>
      </w:r>
      <w:r>
        <w:rPr>
          <w:rFonts w:hint="eastAsia" w:ascii="Times New Roman" w:hAnsi="Times New Roman" w:eastAsia="方正仿宋_GBK" w:cs="Times New Roman"/>
          <w:color w:val="000000" w:themeColor="text1"/>
          <w:sz w:val="32"/>
          <w:szCs w:val="32"/>
        </w:rPr>
        <w:t>进一步校核。</w:t>
      </w:r>
    </w:p>
    <w:p>
      <w:pPr>
        <w:snapToGrid w:val="0"/>
        <w:spacing w:line="588" w:lineRule="exact"/>
        <w:ind w:firstLine="640" w:firstLineChars="200"/>
        <w:rPr>
          <w:rFonts w:ascii="Times New Roman" w:hAnsi="Times New Roman" w:eastAsia="方正仿宋_GBK" w:cs="Times New Roman"/>
          <w:color w:val="000000" w:themeColor="text1"/>
          <w:sz w:val="30"/>
          <w:szCs w:val="30"/>
        </w:rPr>
      </w:pPr>
      <w:r>
        <w:rPr>
          <w:rFonts w:hint="eastAsia" w:ascii="Times New Roman" w:hAnsi="Times New Roman" w:eastAsia="黑体" w:cs="Times New Roman"/>
          <w:bCs/>
          <w:color w:val="000000" w:themeColor="text1"/>
          <w:sz w:val="32"/>
          <w:szCs w:val="32"/>
        </w:rPr>
        <w:t>第十三条</w:t>
      </w:r>
      <w:r>
        <w:rPr>
          <w:rFonts w:ascii="Times New Roman" w:hAnsi="Times New Roman" w:eastAsia="黑体" w:cs="Times New Roman"/>
          <w:bCs/>
          <w:color w:val="000000" w:themeColor="text1"/>
          <w:sz w:val="32"/>
          <w:szCs w:val="32"/>
        </w:rPr>
        <w:t xml:space="preserve"> </w:t>
      </w:r>
      <w:r>
        <w:rPr>
          <w:rFonts w:hint="eastAsia" w:ascii="Times New Roman" w:hAnsi="Times New Roman" w:eastAsia="方正仿宋_GBK" w:cs="Times New Roman"/>
          <w:color w:val="000000" w:themeColor="text1"/>
          <w:sz w:val="32"/>
          <w:szCs w:val="32"/>
        </w:rPr>
        <w:t>国家能源局派出机构对风电企业、电网企业执行本办法的相关情况开展监督检查，并依照有关法规对违规行为予以处理。</w:t>
      </w:r>
    </w:p>
    <w:p>
      <w:pPr>
        <w:spacing w:line="588" w:lineRule="exact"/>
        <w:ind w:firstLine="628" w:firstLineChars="200"/>
        <w:rPr>
          <w:rFonts w:eastAsia="仿宋_GB2312"/>
          <w:sz w:val="32"/>
          <w:szCs w:val="32"/>
        </w:rPr>
      </w:pPr>
      <w:r>
        <w:rPr>
          <w:rFonts w:hint="eastAsia" w:eastAsia="黑体"/>
          <w:spacing w:val="-3"/>
          <w:sz w:val="32"/>
          <w:szCs w:val="32"/>
        </w:rPr>
        <w:t>第十四条</w:t>
      </w:r>
      <w:r>
        <w:rPr>
          <w:rFonts w:hint="eastAsia" w:eastAsia="方正黑体_GBK"/>
          <w:sz w:val="32"/>
          <w:szCs w:val="32"/>
        </w:rPr>
        <w:t xml:space="preserve"> </w:t>
      </w:r>
      <w:r>
        <w:rPr>
          <w:rFonts w:hint="eastAsia" w:ascii="Times New Roman" w:hAnsi="Times New Roman" w:eastAsia="方正仿宋_GBK" w:cs="Times New Roman"/>
          <w:color w:val="000000" w:themeColor="text1"/>
          <w:sz w:val="32"/>
          <w:szCs w:val="32"/>
        </w:rPr>
        <w:t>相关单位应严格按照本办法计算风电场消纳情况，如实完整报送统计数据，未按要求报送、弄虚作假、谎报、瞒报的，由国家能源局派出机构按照《电力监管条例》有关规定进行处理。</w:t>
      </w:r>
    </w:p>
    <w:p>
      <w:pPr>
        <w:spacing w:line="588" w:lineRule="exact"/>
        <w:ind w:firstLine="628" w:firstLineChars="200"/>
        <w:rPr>
          <w:rFonts w:ascii="Times New Roman" w:hAnsi="Times New Roman" w:eastAsia="方正仿宋_GBK" w:cs="Times New Roman"/>
          <w:color w:val="000000" w:themeColor="text1"/>
          <w:spacing w:val="0"/>
          <w:sz w:val="32"/>
          <w:szCs w:val="32"/>
        </w:rPr>
      </w:pPr>
      <w:r>
        <w:rPr>
          <w:rFonts w:hint="eastAsia" w:eastAsia="黑体"/>
          <w:spacing w:val="-3"/>
          <w:sz w:val="32"/>
          <w:szCs w:val="32"/>
        </w:rPr>
        <w:t>第十五条</w:t>
      </w:r>
      <w:r>
        <w:rPr>
          <w:rFonts w:hint="eastAsia" w:eastAsia="仿宋_GB2312"/>
          <w:spacing w:val="-3"/>
          <w:sz w:val="32"/>
          <w:szCs w:val="32"/>
        </w:rPr>
        <w:t xml:space="preserve"> </w:t>
      </w:r>
      <w:r>
        <w:rPr>
          <w:rFonts w:hint="eastAsia" w:ascii="Times New Roman" w:hAnsi="Times New Roman" w:eastAsia="方正仿宋_GBK" w:cs="Times New Roman"/>
          <w:color w:val="000000" w:themeColor="text1"/>
          <w:spacing w:val="0"/>
          <w:sz w:val="32"/>
          <w:szCs w:val="32"/>
        </w:rPr>
        <w:t>国家能源局组织全国新能源消纳监测预警中心按月监测、按季评估，滚动公布各省级区域风电场消纳情况。</w:t>
      </w:r>
    </w:p>
    <w:p>
      <w:pPr>
        <w:snapToGrid w:val="0"/>
        <w:spacing w:line="588" w:lineRule="exact"/>
        <w:ind w:firstLine="628" w:firstLineChars="200"/>
        <w:rPr>
          <w:rFonts w:ascii="Times New Roman" w:hAnsi="Times New Roman" w:eastAsia="方正仿宋_GBK" w:cs="Times New Roman"/>
          <w:color w:val="000000" w:themeColor="text1"/>
          <w:sz w:val="32"/>
          <w:szCs w:val="32"/>
        </w:rPr>
      </w:pPr>
      <w:r>
        <w:rPr>
          <w:rFonts w:hint="eastAsia" w:eastAsia="黑体"/>
          <w:spacing w:val="-3"/>
          <w:sz w:val="32"/>
          <w:szCs w:val="32"/>
        </w:rPr>
        <w:t>第十六条</w:t>
      </w:r>
      <w:r>
        <w:rPr>
          <w:rFonts w:hint="eastAsia" w:eastAsia="仿宋_GB2312"/>
          <w:spacing w:val="-3"/>
          <w:sz w:val="32"/>
          <w:szCs w:val="32"/>
        </w:rPr>
        <w:t xml:space="preserve"> </w:t>
      </w:r>
      <w:r>
        <w:rPr>
          <w:rFonts w:hint="eastAsia" w:ascii="Times New Roman" w:hAnsi="Times New Roman" w:eastAsia="方正仿宋_GBK" w:cs="Times New Roman"/>
          <w:color w:val="000000" w:themeColor="text1"/>
          <w:spacing w:val="0"/>
          <w:sz w:val="32"/>
          <w:szCs w:val="32"/>
        </w:rPr>
        <w:t>风电场消纳情况发布需遵循国家相关法律法规和保密规定。</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黑体" w:cs="Times New Roman"/>
          <w:bCs/>
          <w:color w:val="000000" w:themeColor="text1"/>
          <w:sz w:val="32"/>
          <w:szCs w:val="32"/>
        </w:rPr>
        <w:t>第十</w:t>
      </w:r>
      <w:r>
        <w:rPr>
          <w:rFonts w:hint="eastAsia" w:ascii="Times New Roman" w:hAnsi="Times New Roman" w:eastAsia="黑体" w:cs="Times New Roman"/>
          <w:bCs/>
          <w:color w:val="000000" w:themeColor="text1"/>
          <w:sz w:val="30"/>
          <w:szCs w:val="30"/>
        </w:rPr>
        <w:t>七</w:t>
      </w:r>
      <w:r>
        <w:rPr>
          <w:rFonts w:hint="eastAsia" w:ascii="Times New Roman" w:hAnsi="Times New Roman" w:eastAsia="黑体" w:cs="Times New Roman"/>
          <w:bCs/>
          <w:color w:val="000000" w:themeColor="text1"/>
          <w:sz w:val="32"/>
          <w:szCs w:val="32"/>
        </w:rPr>
        <w:t>条</w:t>
      </w:r>
      <w:r>
        <w:rPr>
          <w:rFonts w:ascii="Times New Roman" w:hAnsi="Times New Roman" w:eastAsia="黑体" w:cs="Times New Roman"/>
          <w:bCs/>
          <w:color w:val="000000" w:themeColor="text1"/>
          <w:sz w:val="32"/>
          <w:szCs w:val="32"/>
        </w:rPr>
        <w:t xml:space="preserve"> </w:t>
      </w:r>
      <w:r>
        <w:rPr>
          <w:rFonts w:hint="eastAsia" w:ascii="Times New Roman" w:hAnsi="Times New Roman" w:eastAsia="方正仿宋_GBK" w:cs="Times New Roman"/>
          <w:color w:val="000000" w:themeColor="text1"/>
          <w:sz w:val="32"/>
          <w:szCs w:val="32"/>
        </w:rPr>
        <w:t>国家能源局派出机构可依据本办法制定当地实施细则。</w:t>
      </w:r>
    </w:p>
    <w:p>
      <w:pPr>
        <w:snapToGrid w:val="0"/>
        <w:spacing w:line="588" w:lineRule="exact"/>
        <w:ind w:firstLine="640" w:firstLineChars="200"/>
        <w:rPr>
          <w:rFonts w:ascii="Times New Roman" w:hAnsi="Times New Roman" w:eastAsia="方正仿宋_GBK" w:cs="Times New Roman"/>
          <w:color w:val="000000" w:themeColor="text1"/>
          <w:sz w:val="32"/>
          <w:szCs w:val="32"/>
        </w:rPr>
      </w:pPr>
      <w:r>
        <w:rPr>
          <w:rFonts w:hint="eastAsia" w:ascii="Times New Roman" w:hAnsi="Times New Roman" w:eastAsia="黑体" w:cs="Times New Roman"/>
          <w:bCs/>
          <w:color w:val="000000" w:themeColor="text1"/>
          <w:sz w:val="32"/>
          <w:szCs w:val="32"/>
        </w:rPr>
        <w:t>第十</w:t>
      </w:r>
      <w:r>
        <w:rPr>
          <w:rFonts w:hint="eastAsia" w:ascii="Times New Roman" w:hAnsi="Times New Roman" w:eastAsia="黑体" w:cs="Times New Roman"/>
          <w:bCs/>
          <w:color w:val="000000" w:themeColor="text1"/>
          <w:sz w:val="30"/>
          <w:szCs w:val="30"/>
        </w:rPr>
        <w:t>八</w:t>
      </w:r>
      <w:r>
        <w:rPr>
          <w:rFonts w:hint="eastAsia" w:ascii="Times New Roman" w:hAnsi="Times New Roman" w:eastAsia="黑体" w:cs="Times New Roman"/>
          <w:bCs/>
          <w:color w:val="000000" w:themeColor="text1"/>
          <w:sz w:val="32"/>
          <w:szCs w:val="32"/>
        </w:rPr>
        <w:t>条</w:t>
      </w:r>
      <w:r>
        <w:rPr>
          <w:rFonts w:hint="eastAsia" w:ascii="Times New Roman" w:hAnsi="Times New Roman" w:eastAsia="黑体" w:cs="Times New Roman"/>
          <w:bCs/>
          <w:color w:val="000000" w:themeColor="text1"/>
          <w:sz w:val="30"/>
          <w:szCs w:val="30"/>
        </w:rPr>
        <w:t xml:space="preserve"> </w:t>
      </w:r>
      <w:r>
        <w:rPr>
          <w:rFonts w:hint="eastAsia" w:ascii="Times New Roman" w:hAnsi="Times New Roman" w:eastAsia="方正仿宋_GBK" w:cs="Times New Roman"/>
          <w:color w:val="000000" w:themeColor="text1"/>
          <w:sz w:val="32"/>
          <w:szCs w:val="32"/>
        </w:rPr>
        <w:t>本办法由国家能源局负责解释，自发布之日起施行，有效期暂定为5年，</w:t>
      </w:r>
      <w:r>
        <w:rPr>
          <w:rFonts w:hint="eastAsia" w:ascii="Times New Roman" w:hAnsi="Times New Roman" w:eastAsia="方正仿宋_GBK" w:cs="Times New Roman"/>
          <w:color w:val="000000" w:themeColor="text1"/>
          <w:sz w:val="32"/>
          <w:szCs w:val="32"/>
        </w:rPr>
        <w:t>原《风电场弃风电量计算办法（试行）》（办输电〔</w:t>
      </w:r>
      <w:r>
        <w:rPr>
          <w:rFonts w:ascii="Times New Roman" w:hAnsi="Times New Roman" w:eastAsia="方正仿宋_GBK" w:cs="Times New Roman"/>
          <w:color w:val="000000" w:themeColor="text1"/>
          <w:sz w:val="32"/>
          <w:szCs w:val="32"/>
        </w:rPr>
        <w:t>2012</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154</w:t>
      </w:r>
      <w:r>
        <w:rPr>
          <w:rFonts w:hint="eastAsia" w:ascii="Times New Roman" w:hAnsi="Times New Roman" w:eastAsia="方正仿宋_GBK" w:cs="Times New Roman"/>
          <w:color w:val="000000" w:themeColor="text1"/>
          <w:sz w:val="32"/>
          <w:szCs w:val="32"/>
        </w:rPr>
        <w:t>号）同时废止。</w:t>
      </w:r>
    </w:p>
    <w:p>
      <w:pPr>
        <w:snapToGrid w:val="0"/>
        <w:spacing w:line="588" w:lineRule="exact"/>
        <w:ind w:firstLine="640" w:firstLineChars="200"/>
        <w:rPr>
          <w:rFonts w:ascii="Times New Roman" w:hAnsi="Times New Roman" w:eastAsia="方正仿宋_GBK" w:cs="Times New Roman"/>
          <w:color w:val="000000" w:themeColor="text1"/>
          <w:sz w:val="32"/>
          <w:szCs w:val="32"/>
        </w:rPr>
      </w:pPr>
    </w:p>
    <w:p>
      <w:pPr>
        <w:snapToGrid w:val="0"/>
        <w:spacing w:line="588" w:lineRule="exact"/>
        <w:jc w:val="left"/>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 xml:space="preserve">    附件：1. </w:t>
      </w:r>
      <w:r>
        <w:rPr>
          <w:rFonts w:ascii="Times New Roman" w:hAnsi="Times New Roman" w:eastAsia="方正仿宋_GBK" w:cs="Times New Roman"/>
          <w:color w:val="000000" w:themeColor="text1"/>
          <w:sz w:val="32"/>
          <w:szCs w:val="32"/>
        </w:rPr>
        <w:t>XX</w:t>
      </w:r>
      <w:r>
        <w:rPr>
          <w:rFonts w:hint="eastAsia" w:ascii="Times New Roman" w:hAnsi="Times New Roman" w:eastAsia="方正仿宋_GBK" w:cs="Times New Roman"/>
          <w:color w:val="000000" w:themeColor="text1"/>
          <w:sz w:val="32"/>
          <w:szCs w:val="32"/>
        </w:rPr>
        <w:t>风电场月度发电信息表</w:t>
      </w:r>
    </w:p>
    <w:p>
      <w:pPr>
        <w:snapToGrid w:val="0"/>
        <w:spacing w:line="588" w:lineRule="exact"/>
        <w:jc w:val="center"/>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 xml:space="preserve"> </w:t>
      </w:r>
      <w:r>
        <w:rPr>
          <w:rFonts w:hint="eastAsia" w:ascii="Times New Roman" w:hAnsi="Times New Roman" w:eastAsia="方正仿宋_GBK" w:cs="Times New Roman"/>
          <w:color w:val="000000" w:themeColor="text1"/>
          <w:sz w:val="32"/>
          <w:szCs w:val="32"/>
        </w:rPr>
        <w:t xml:space="preserve"> </w:t>
      </w:r>
      <w:r>
        <w:rPr>
          <w:rFonts w:ascii="Times New Roman" w:hAnsi="Times New Roman" w:eastAsia="方正仿宋_GBK" w:cs="Times New Roman"/>
          <w:color w:val="000000" w:themeColor="text1"/>
          <w:sz w:val="32"/>
          <w:szCs w:val="32"/>
        </w:rPr>
        <w:t xml:space="preserve"> </w:t>
      </w:r>
      <w:r>
        <w:rPr>
          <w:rFonts w:hint="eastAsia" w:ascii="Times New Roman" w:hAnsi="Times New Roman" w:eastAsia="方正仿宋_GBK" w:cs="Times New Roman"/>
          <w:color w:val="000000" w:themeColor="text1"/>
          <w:sz w:val="32"/>
          <w:szCs w:val="32"/>
        </w:rPr>
        <w:t xml:space="preserve"> </w:t>
      </w:r>
      <w:r>
        <w:rPr>
          <w:rFonts w:ascii="Times New Roman" w:hAnsi="Times New Roman" w:eastAsia="方正仿宋_GBK" w:cs="Times New Roman"/>
          <w:color w:val="000000" w:themeColor="text1"/>
          <w:sz w:val="32"/>
          <w:szCs w:val="32"/>
        </w:rPr>
        <w:t>2. XX</w:t>
      </w:r>
      <w:r>
        <w:rPr>
          <w:rFonts w:hint="eastAsia" w:ascii="Times New Roman" w:hAnsi="Times New Roman" w:eastAsia="方正仿宋_GBK" w:cs="Times New Roman"/>
          <w:color w:val="000000" w:themeColor="text1"/>
          <w:sz w:val="32"/>
          <w:szCs w:val="32"/>
        </w:rPr>
        <w:t>省（区、市）风电月度发电信息表</w:t>
      </w:r>
    </w:p>
    <w:p>
      <w:pPr>
        <w:snapToGrid w:val="0"/>
        <w:spacing w:line="360" w:lineRule="exact"/>
        <w:jc w:val="left"/>
        <w:rPr>
          <w:rFonts w:ascii="方正小标宋_GBK" w:hAnsi="Times New Roman" w:eastAsia="方正小标宋_GBK" w:cs="Times New Roman"/>
          <w:color w:val="000000" w:themeColor="text1"/>
          <w:sz w:val="32"/>
          <w:szCs w:val="32"/>
        </w:rPr>
      </w:pPr>
    </w:p>
    <w:p>
      <w:pPr>
        <w:snapToGrid w:val="0"/>
        <w:spacing w:line="588" w:lineRule="exact"/>
        <w:ind w:firstLine="640" w:firstLineChars="200"/>
        <w:rPr>
          <w:rFonts w:ascii="Times New Roman" w:hAnsi="Times New Roman" w:eastAsia="方正仿宋_GBK" w:cs="Times New Roman"/>
          <w:color w:val="000000" w:themeColor="text1"/>
          <w:sz w:val="32"/>
          <w:szCs w:val="32"/>
        </w:rPr>
      </w:pPr>
    </w:p>
    <w:p>
      <w:pPr>
        <w:snapToGrid w:val="0"/>
        <w:spacing w:line="588" w:lineRule="exact"/>
        <w:ind w:firstLine="640" w:firstLineChars="200"/>
        <w:rPr>
          <w:rFonts w:ascii="Times New Roman" w:hAnsi="Times New Roman" w:eastAsia="方正仿宋_GBK" w:cs="Times New Roman"/>
          <w:color w:val="000000" w:themeColor="text1"/>
          <w:sz w:val="32"/>
          <w:szCs w:val="32"/>
        </w:rPr>
      </w:pPr>
    </w:p>
    <w:p>
      <w:pPr>
        <w:snapToGrid w:val="0"/>
        <w:spacing w:line="588" w:lineRule="exact"/>
        <w:ind w:firstLine="640" w:firstLineChars="200"/>
        <w:rPr>
          <w:rFonts w:ascii="Times New Roman" w:hAnsi="Times New Roman" w:eastAsia="方正仿宋_GBK" w:cs="Times New Roman"/>
          <w:color w:val="000000" w:themeColor="text1"/>
          <w:sz w:val="32"/>
          <w:szCs w:val="32"/>
        </w:rPr>
        <w:sectPr>
          <w:footerReference r:id="rId3" w:type="default"/>
          <w:pgSz w:w="11906" w:h="16838"/>
          <w:pgMar w:top="1440" w:right="1800" w:bottom="1440" w:left="1800" w:header="851" w:footer="992" w:gutter="0"/>
          <w:cols w:space="425" w:num="1"/>
          <w:docGrid w:type="lines" w:linePitch="312" w:charSpace="0"/>
        </w:sectPr>
      </w:pPr>
    </w:p>
    <w:p>
      <w:pPr>
        <w:snapToGrid w:val="0"/>
        <w:jc w:val="left"/>
        <w:rPr>
          <w:rFonts w:ascii="黑体" w:hAnsi="黑体" w:eastAsia="黑体" w:cs="Times New Roman"/>
          <w:color w:val="000000" w:themeColor="text1"/>
          <w:sz w:val="32"/>
          <w:szCs w:val="32"/>
        </w:rPr>
      </w:pPr>
      <w:r>
        <w:rPr>
          <w:rFonts w:hint="eastAsia" w:ascii="黑体" w:hAnsi="黑体" w:eastAsia="黑体" w:cs="Times New Roman"/>
          <w:color w:val="000000" w:themeColor="text1"/>
          <w:sz w:val="32"/>
          <w:szCs w:val="32"/>
        </w:rPr>
        <w:t>附件</w:t>
      </w:r>
      <w:r>
        <w:rPr>
          <w:rFonts w:ascii="黑体" w:hAnsi="黑体" w:eastAsia="黑体" w:cs="Times New Roman"/>
          <w:color w:val="000000" w:themeColor="text1"/>
          <w:sz w:val="32"/>
          <w:szCs w:val="32"/>
        </w:rPr>
        <w:t>1</w:t>
      </w:r>
    </w:p>
    <w:p>
      <w:pPr>
        <w:snapToGrid w:val="0"/>
        <w:spacing w:line="360" w:lineRule="exact"/>
        <w:jc w:val="center"/>
        <w:rPr>
          <w:rFonts w:ascii="方正小标宋_GBK" w:hAnsi="Times New Roman" w:eastAsia="方正小标宋_GBK" w:cs="Times New Roman"/>
          <w:color w:val="000000" w:themeColor="text1"/>
          <w:sz w:val="32"/>
          <w:szCs w:val="32"/>
        </w:rPr>
      </w:pPr>
    </w:p>
    <w:p>
      <w:pPr>
        <w:snapToGrid w:val="0"/>
        <w:spacing w:line="360" w:lineRule="exact"/>
        <w:jc w:val="center"/>
        <w:rPr>
          <w:rFonts w:ascii="方正小标宋_GBK" w:hAnsi="Times New Roman" w:eastAsia="方正小标宋_GBK" w:cs="Times New Roman"/>
          <w:color w:val="000000" w:themeColor="text1"/>
          <w:sz w:val="32"/>
          <w:szCs w:val="32"/>
        </w:rPr>
      </w:pPr>
      <w:r>
        <w:rPr>
          <w:rFonts w:hint="eastAsia" w:ascii="方正小标宋_GBK" w:hAnsi="Times New Roman" w:eastAsia="方正小标宋_GBK" w:cs="Times New Roman"/>
          <w:color w:val="000000" w:themeColor="text1"/>
          <w:sz w:val="32"/>
          <w:szCs w:val="32"/>
        </w:rPr>
        <w:t>XX风电场</w:t>
      </w:r>
      <w:bookmarkStart w:id="1" w:name="_Hlk78806490"/>
      <w:r>
        <w:rPr>
          <w:rFonts w:hint="eastAsia" w:ascii="方正小标宋_GBK" w:hAnsi="Times New Roman" w:eastAsia="方正小标宋_GBK" w:cs="Times New Roman"/>
          <w:color w:val="000000" w:themeColor="text1"/>
          <w:sz w:val="32"/>
          <w:szCs w:val="32"/>
        </w:rPr>
        <w:t>月度发电信息表</w:t>
      </w:r>
      <w:bookmarkEnd w:id="1"/>
    </w:p>
    <w:p>
      <w:pPr>
        <w:snapToGrid w:val="0"/>
        <w:spacing w:line="360" w:lineRule="exact"/>
        <w:jc w:val="center"/>
        <w:rPr>
          <w:rFonts w:ascii="方正小标宋_GBK" w:hAnsi="Times New Roman" w:eastAsia="方正小标宋_GBK" w:cs="Times New Roman"/>
          <w:color w:val="000000" w:themeColor="text1"/>
          <w:sz w:val="32"/>
          <w:szCs w:val="32"/>
        </w:rPr>
      </w:pPr>
      <w:r>
        <w:rPr>
          <w:rFonts w:ascii="方正小标宋_GBK" w:hAnsi="Times New Roman" w:eastAsia="方正小标宋_GBK" w:cs="Times New Roman"/>
          <w:color w:val="000000" w:themeColor="text1"/>
          <w:sz w:val="32"/>
          <w:szCs w:val="32"/>
        </w:rPr>
        <w:t>XX</w:t>
      </w:r>
      <w:r>
        <w:rPr>
          <w:rFonts w:hint="eastAsia" w:ascii="方正小标宋_GBK" w:hAnsi="Times New Roman" w:eastAsia="方正小标宋_GBK" w:cs="Times New Roman"/>
          <w:color w:val="000000" w:themeColor="text1"/>
          <w:sz w:val="32"/>
          <w:szCs w:val="32"/>
        </w:rPr>
        <w:t>XX</w:t>
      </w:r>
      <w:r>
        <w:rPr>
          <w:rFonts w:hint="eastAsia" w:ascii="方正小标宋_GBK" w:hAnsi="Times New Roman" w:eastAsia="方正小标宋_GBK" w:cs="Times New Roman"/>
          <w:color w:val="000000" w:themeColor="text1"/>
          <w:sz w:val="32"/>
          <w:szCs w:val="32"/>
        </w:rPr>
        <w:t>年XX月</w:t>
      </w:r>
    </w:p>
    <w:p>
      <w:pPr>
        <w:wordWrap w:val="0"/>
        <w:snapToGrid w:val="0"/>
        <w:jc w:val="right"/>
        <w:rPr>
          <w:rFonts w:ascii="方正小标宋_GBK" w:hAnsi="Times New Roman" w:eastAsia="方正小标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单位：万千瓦时、万千瓦</w:t>
      </w:r>
      <w:r>
        <w:rPr>
          <w:rFonts w:ascii="Times New Roman" w:hAnsi="Times New Roman" w:eastAsia="方正仿宋_GBK" w:cs="Times New Roman"/>
          <w:color w:val="000000" w:themeColor="text1"/>
          <w:sz w:val="32"/>
          <w:szCs w:val="32"/>
        </w:rPr>
        <w:t xml:space="preserve">            </w:t>
      </w:r>
    </w:p>
    <w:tbl>
      <w:tblPr>
        <w:tblStyle w:val="11"/>
        <w:tblW w:w="44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672"/>
        <w:gridCol w:w="672"/>
        <w:gridCol w:w="677"/>
        <w:gridCol w:w="723"/>
        <w:gridCol w:w="1741"/>
        <w:gridCol w:w="1285"/>
        <w:gridCol w:w="1155"/>
        <w:gridCol w:w="1005"/>
        <w:gridCol w:w="1232"/>
        <w:gridCol w:w="99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564" w:type="pct"/>
            <w:vMerge w:val="restart"/>
            <w:vAlign w:val="center"/>
          </w:tcPr>
          <w:p>
            <w:pPr>
              <w:snapToGrid w:val="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电站名称</w:t>
            </w:r>
          </w:p>
        </w:tc>
        <w:tc>
          <w:tcPr>
            <w:tcW w:w="794" w:type="pct"/>
            <w:gridSpan w:val="3"/>
            <w:vAlign w:val="center"/>
          </w:tcPr>
          <w:p>
            <w:pPr>
              <w:snapToGrid w:val="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项目所在地</w:t>
            </w:r>
          </w:p>
        </w:tc>
        <w:tc>
          <w:tcPr>
            <w:tcW w:w="284"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并网容量</w:t>
            </w:r>
          </w:p>
        </w:tc>
        <w:tc>
          <w:tcPr>
            <w:tcW w:w="684"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受限电量</w:t>
            </w:r>
          </w:p>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计算方法</w:t>
            </w:r>
          </w:p>
        </w:tc>
        <w:tc>
          <w:tcPr>
            <w:tcW w:w="505"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本月可用机组可发电量</w:t>
            </w:r>
          </w:p>
        </w:tc>
        <w:tc>
          <w:tcPr>
            <w:tcW w:w="454"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本月实际发电量</w:t>
            </w:r>
          </w:p>
        </w:tc>
        <w:tc>
          <w:tcPr>
            <w:tcW w:w="395"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本月受限电量</w:t>
            </w:r>
          </w:p>
        </w:tc>
        <w:tc>
          <w:tcPr>
            <w:tcW w:w="484"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本月</w:t>
            </w:r>
          </w:p>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特殊原因受限电量</w:t>
            </w:r>
          </w:p>
        </w:tc>
        <w:tc>
          <w:tcPr>
            <w:tcW w:w="390"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主要受限原因</w:t>
            </w:r>
          </w:p>
        </w:tc>
        <w:tc>
          <w:tcPr>
            <w:tcW w:w="446"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64" w:type="pct"/>
            <w:vMerge w:val="continue"/>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264" w:type="pct"/>
            <w:vAlign w:val="center"/>
          </w:tcPr>
          <w:p>
            <w:pPr>
              <w:snapToGrid w:val="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省</w:t>
            </w:r>
          </w:p>
        </w:tc>
        <w:tc>
          <w:tcPr>
            <w:tcW w:w="264" w:type="pct"/>
            <w:vAlign w:val="center"/>
          </w:tcPr>
          <w:p>
            <w:pPr>
              <w:snapToGrid w:val="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市</w:t>
            </w:r>
          </w:p>
        </w:tc>
        <w:tc>
          <w:tcPr>
            <w:tcW w:w="266" w:type="pct"/>
            <w:vAlign w:val="center"/>
          </w:tcPr>
          <w:p>
            <w:pPr>
              <w:snapToGrid w:val="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县</w:t>
            </w:r>
          </w:p>
        </w:tc>
        <w:tc>
          <w:tcPr>
            <w:tcW w:w="284" w:type="pct"/>
            <w:vMerge w:val="continue"/>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684" w:type="pct"/>
            <w:vMerge w:val="continue"/>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505" w:type="pct"/>
            <w:vMerge w:val="continue"/>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454" w:type="pct"/>
            <w:vMerge w:val="continue"/>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95" w:type="pct"/>
            <w:vMerge w:val="continue"/>
            <w:vAlign w:val="center"/>
          </w:tcPr>
          <w:p>
            <w:pPr>
              <w:snapToGrid w:val="0"/>
              <w:spacing w:line="600" w:lineRule="exact"/>
              <w:ind w:firstLine="640" w:firstLineChars="200"/>
              <w:jc w:val="center"/>
              <w:outlineLvl w:val="0"/>
              <w:rPr>
                <w:rFonts w:ascii="Times New Roman" w:hAnsi="Times New Roman" w:eastAsia="方正仿宋_GBK" w:cs="Times New Roman"/>
                <w:b/>
                <w:bCs/>
                <w:color w:val="000000" w:themeColor="text1"/>
                <w:sz w:val="32"/>
                <w:szCs w:val="32"/>
              </w:rPr>
            </w:pPr>
          </w:p>
        </w:tc>
        <w:tc>
          <w:tcPr>
            <w:tcW w:w="484" w:type="pct"/>
            <w:vMerge w:val="continue"/>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90" w:type="pct"/>
            <w:vMerge w:val="continue"/>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446" w:type="pct"/>
            <w:vMerge w:val="continue"/>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564" w:type="pct"/>
            <w:vAlign w:val="center"/>
          </w:tcPr>
          <w:p>
            <w:pPr>
              <w:snapToGrid w:val="0"/>
              <w:jc w:val="center"/>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XX</w:t>
            </w:r>
            <w:r>
              <w:rPr>
                <w:rFonts w:hint="eastAsia" w:ascii="Times New Roman" w:hAnsi="Times New Roman" w:eastAsia="方正仿宋_GBK" w:cs="Times New Roman"/>
                <w:color w:val="000000" w:themeColor="text1"/>
                <w:sz w:val="32"/>
                <w:szCs w:val="32"/>
              </w:rPr>
              <w:t>风电场</w:t>
            </w:r>
          </w:p>
        </w:tc>
        <w:tc>
          <w:tcPr>
            <w:tcW w:w="264"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264"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266"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284"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684"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505"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454"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95"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484"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90"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446"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r>
    </w:tbl>
    <w:p>
      <w:pPr>
        <w:rPr>
          <w:sz w:val="32"/>
          <w:szCs w:val="32"/>
        </w:rPr>
      </w:pPr>
    </w:p>
    <w:p>
      <w:pPr>
        <w:widowControl/>
        <w:jc w:val="lef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br w:type="page"/>
      </w:r>
    </w:p>
    <w:p>
      <w:pPr>
        <w:snapToGrid w:val="0"/>
        <w:jc w:val="left"/>
        <w:rPr>
          <w:rFonts w:ascii="黑体" w:hAnsi="黑体" w:eastAsia="黑体" w:cs="Times New Roman"/>
          <w:color w:val="000000" w:themeColor="text1"/>
          <w:sz w:val="32"/>
          <w:szCs w:val="32"/>
        </w:rPr>
      </w:pPr>
      <w:r>
        <w:rPr>
          <w:rFonts w:hint="eastAsia" w:ascii="黑体" w:hAnsi="黑体" w:eastAsia="黑体" w:cs="Times New Roman"/>
          <w:color w:val="000000" w:themeColor="text1"/>
          <w:sz w:val="32"/>
          <w:szCs w:val="32"/>
        </w:rPr>
        <w:t>附件</w:t>
      </w:r>
      <w:r>
        <w:rPr>
          <w:rFonts w:ascii="黑体" w:hAnsi="黑体" w:eastAsia="黑体" w:cs="Times New Roman"/>
          <w:color w:val="000000" w:themeColor="text1"/>
          <w:sz w:val="32"/>
          <w:szCs w:val="32"/>
        </w:rPr>
        <w:t>2</w:t>
      </w:r>
    </w:p>
    <w:p>
      <w:pPr>
        <w:snapToGrid w:val="0"/>
        <w:spacing w:line="360" w:lineRule="exact"/>
        <w:jc w:val="center"/>
        <w:rPr>
          <w:rFonts w:ascii="方正小标宋_GBK" w:hAnsi="Times New Roman" w:eastAsia="方正小标宋_GBK" w:cs="Times New Roman"/>
          <w:color w:val="000000" w:themeColor="text1"/>
          <w:sz w:val="32"/>
          <w:szCs w:val="32"/>
        </w:rPr>
      </w:pPr>
    </w:p>
    <w:p>
      <w:pPr>
        <w:snapToGrid w:val="0"/>
        <w:spacing w:line="360" w:lineRule="exact"/>
        <w:jc w:val="center"/>
        <w:rPr>
          <w:rFonts w:ascii="方正小标宋_GBK" w:hAnsi="Times New Roman" w:eastAsia="方正小标宋_GBK" w:cs="Times New Roman"/>
          <w:color w:val="000000" w:themeColor="text1"/>
          <w:sz w:val="32"/>
          <w:szCs w:val="32"/>
        </w:rPr>
      </w:pPr>
      <w:r>
        <w:rPr>
          <w:rFonts w:hint="eastAsia" w:ascii="方正小标宋_GBK" w:hAnsi="Times New Roman" w:eastAsia="方正小标宋_GBK" w:cs="Times New Roman"/>
          <w:color w:val="000000" w:themeColor="text1"/>
          <w:sz w:val="32"/>
          <w:szCs w:val="32"/>
        </w:rPr>
        <w:t>XX省（区、市）风电月度发电信息表</w:t>
      </w:r>
    </w:p>
    <w:p>
      <w:pPr>
        <w:snapToGrid w:val="0"/>
        <w:spacing w:line="360" w:lineRule="exact"/>
        <w:jc w:val="center"/>
        <w:rPr>
          <w:rFonts w:ascii="方正小标宋_GBK" w:hAnsi="Times New Roman" w:eastAsia="方正小标宋_GBK" w:cs="Times New Roman"/>
          <w:color w:val="000000" w:themeColor="text1"/>
          <w:sz w:val="32"/>
          <w:szCs w:val="32"/>
        </w:rPr>
      </w:pPr>
      <w:r>
        <w:rPr>
          <w:rFonts w:ascii="方正小标宋_GBK" w:hAnsi="Times New Roman" w:eastAsia="方正小标宋_GBK" w:cs="Times New Roman"/>
          <w:color w:val="000000" w:themeColor="text1"/>
          <w:sz w:val="32"/>
          <w:szCs w:val="32"/>
        </w:rPr>
        <w:t>XX</w:t>
      </w:r>
      <w:r>
        <w:rPr>
          <w:rFonts w:hint="eastAsia" w:ascii="方正小标宋_GBK" w:hAnsi="Times New Roman" w:eastAsia="方正小标宋_GBK" w:cs="Times New Roman"/>
          <w:color w:val="000000" w:themeColor="text1"/>
          <w:sz w:val="32"/>
          <w:szCs w:val="32"/>
        </w:rPr>
        <w:t>XX</w:t>
      </w:r>
      <w:r>
        <w:rPr>
          <w:rFonts w:hint="eastAsia" w:ascii="方正小标宋_GBK" w:hAnsi="Times New Roman" w:eastAsia="方正小标宋_GBK" w:cs="Times New Roman"/>
          <w:color w:val="000000" w:themeColor="text1"/>
          <w:sz w:val="32"/>
          <w:szCs w:val="32"/>
        </w:rPr>
        <w:t>年XX月</w:t>
      </w:r>
    </w:p>
    <w:p>
      <w:pPr>
        <w:snapToGrid w:val="0"/>
        <w:jc w:val="right"/>
        <w:rPr>
          <w:rFonts w:ascii="方正小标宋_GBK" w:hAnsi="Times New Roman" w:eastAsia="方正小标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单位：万千瓦时、万千瓦</w:t>
      </w:r>
    </w:p>
    <w:tbl>
      <w:tblPr>
        <w:tblStyle w:val="11"/>
        <w:tblW w:w="51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2"/>
        <w:gridCol w:w="1200"/>
        <w:gridCol w:w="536"/>
        <w:gridCol w:w="536"/>
        <w:gridCol w:w="536"/>
        <w:gridCol w:w="594"/>
        <w:gridCol w:w="976"/>
        <w:gridCol w:w="1310"/>
        <w:gridCol w:w="1124"/>
        <w:gridCol w:w="981"/>
        <w:gridCol w:w="1127"/>
        <w:gridCol w:w="1124"/>
        <w:gridCol w:w="650"/>
        <w:gridCol w:w="941"/>
        <w:gridCol w:w="801"/>
        <w:gridCol w:w="1101"/>
        <w:gridCol w:w="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66"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序号</w:t>
            </w:r>
          </w:p>
        </w:tc>
        <w:tc>
          <w:tcPr>
            <w:tcW w:w="416"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电站名称</w:t>
            </w:r>
          </w:p>
        </w:tc>
        <w:tc>
          <w:tcPr>
            <w:tcW w:w="500" w:type="pct"/>
            <w:gridSpan w:val="3"/>
            <w:vAlign w:val="center"/>
          </w:tcPr>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项目所在地</w:t>
            </w:r>
          </w:p>
        </w:tc>
        <w:tc>
          <w:tcPr>
            <w:tcW w:w="208"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并网容量</w:t>
            </w:r>
          </w:p>
        </w:tc>
        <w:tc>
          <w:tcPr>
            <w:tcW w:w="339"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受限电量计算方法</w:t>
            </w:r>
          </w:p>
        </w:tc>
        <w:tc>
          <w:tcPr>
            <w:tcW w:w="454"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本月可用机组可发电量</w:t>
            </w:r>
          </w:p>
        </w:tc>
        <w:tc>
          <w:tcPr>
            <w:tcW w:w="390"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本月实际发电量</w:t>
            </w:r>
          </w:p>
        </w:tc>
        <w:tc>
          <w:tcPr>
            <w:tcW w:w="341" w:type="pct"/>
            <w:vMerge w:val="restart"/>
            <w:vAlign w:val="center"/>
          </w:tcPr>
          <w:p>
            <w:pPr>
              <w:snapToGrid w:val="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本月受限电量</w:t>
            </w:r>
          </w:p>
        </w:tc>
        <w:tc>
          <w:tcPr>
            <w:tcW w:w="391"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本月</w:t>
            </w:r>
          </w:p>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特殊原因</w:t>
            </w:r>
          </w:p>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受限电量</w:t>
            </w:r>
          </w:p>
        </w:tc>
        <w:tc>
          <w:tcPr>
            <w:tcW w:w="390"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本月</w:t>
            </w:r>
          </w:p>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系统原因</w:t>
            </w:r>
          </w:p>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受限电量</w:t>
            </w:r>
          </w:p>
        </w:tc>
        <w:tc>
          <w:tcPr>
            <w:tcW w:w="227"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受限</w:t>
            </w:r>
          </w:p>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原因</w:t>
            </w:r>
          </w:p>
        </w:tc>
        <w:tc>
          <w:tcPr>
            <w:tcW w:w="327"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本年累计受限电量</w:t>
            </w:r>
          </w:p>
        </w:tc>
        <w:tc>
          <w:tcPr>
            <w:tcW w:w="279"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本月利用率</w:t>
            </w:r>
          </w:p>
        </w:tc>
        <w:tc>
          <w:tcPr>
            <w:tcW w:w="382"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本年累计利用率</w:t>
            </w:r>
          </w:p>
        </w:tc>
        <w:tc>
          <w:tcPr>
            <w:tcW w:w="190"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66" w:type="pct"/>
            <w:vMerge w:val="continue"/>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416" w:type="pct"/>
            <w:vMerge w:val="continue"/>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166" w:type="pct"/>
            <w:vAlign w:val="center"/>
          </w:tcPr>
          <w:p>
            <w:pPr>
              <w:snapToGrid w:val="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省</w:t>
            </w:r>
          </w:p>
        </w:tc>
        <w:tc>
          <w:tcPr>
            <w:tcW w:w="166" w:type="pct"/>
            <w:vAlign w:val="center"/>
          </w:tcPr>
          <w:p>
            <w:pPr>
              <w:snapToGrid w:val="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市</w:t>
            </w:r>
          </w:p>
        </w:tc>
        <w:tc>
          <w:tcPr>
            <w:tcW w:w="168" w:type="pct"/>
            <w:vAlign w:val="center"/>
          </w:tcPr>
          <w:p>
            <w:pPr>
              <w:snapToGrid w:val="0"/>
              <w:jc w:val="center"/>
              <w:rPr>
                <w:rFonts w:ascii="Times New Roman" w:hAnsi="Times New Roman" w:eastAsia="方正仿宋_GBK" w:cs="Times New Roman"/>
                <w:b/>
                <w:bCs/>
                <w:color w:val="000000" w:themeColor="text1"/>
                <w:sz w:val="32"/>
                <w:szCs w:val="32"/>
              </w:rPr>
            </w:pPr>
            <w:r>
              <w:rPr>
                <w:rFonts w:hint="eastAsia" w:ascii="Times New Roman" w:hAnsi="Times New Roman" w:eastAsia="方正仿宋_GBK" w:cs="Times New Roman"/>
                <w:b/>
                <w:bCs/>
                <w:color w:val="000000" w:themeColor="text1"/>
                <w:sz w:val="32"/>
                <w:szCs w:val="32"/>
              </w:rPr>
              <w:t>县</w:t>
            </w:r>
          </w:p>
        </w:tc>
        <w:tc>
          <w:tcPr>
            <w:tcW w:w="208" w:type="pct"/>
            <w:vMerge w:val="continue"/>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39" w:type="pct"/>
            <w:vMerge w:val="continue"/>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454" w:type="pct"/>
            <w:vMerge w:val="continue"/>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90" w:type="pct"/>
            <w:vMerge w:val="continue"/>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41" w:type="pct"/>
            <w:vMerge w:val="continue"/>
            <w:vAlign w:val="center"/>
          </w:tcPr>
          <w:p>
            <w:pPr>
              <w:snapToGrid w:val="0"/>
              <w:spacing w:line="600" w:lineRule="exact"/>
              <w:ind w:firstLine="640" w:firstLineChars="200"/>
              <w:jc w:val="center"/>
              <w:outlineLvl w:val="0"/>
              <w:rPr>
                <w:rFonts w:ascii="Times New Roman" w:hAnsi="Times New Roman" w:eastAsia="方正仿宋_GBK" w:cs="Times New Roman"/>
                <w:b/>
                <w:bCs/>
                <w:color w:val="000000" w:themeColor="text1"/>
                <w:sz w:val="32"/>
                <w:szCs w:val="32"/>
              </w:rPr>
            </w:pPr>
          </w:p>
        </w:tc>
        <w:tc>
          <w:tcPr>
            <w:tcW w:w="391" w:type="pct"/>
            <w:vMerge w:val="continue"/>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90" w:type="pct"/>
            <w:vMerge w:val="continue"/>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227" w:type="pct"/>
            <w:vMerge w:val="continue"/>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27" w:type="pct"/>
            <w:vMerge w:val="continue"/>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279" w:type="pct"/>
            <w:vMerge w:val="continue"/>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82" w:type="pct"/>
            <w:vMerge w:val="continue"/>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190" w:type="pct"/>
            <w:vMerge w:val="continue"/>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 w:type="pct"/>
            <w:vAlign w:val="center"/>
          </w:tcPr>
          <w:p>
            <w:pPr>
              <w:snapToGrid w:val="0"/>
              <w:ind w:left="-109" w:leftChars="-52" w:right="-48" w:rightChars="-23"/>
              <w:jc w:val="center"/>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1</w:t>
            </w:r>
          </w:p>
        </w:tc>
        <w:tc>
          <w:tcPr>
            <w:tcW w:w="416" w:type="pct"/>
            <w:vAlign w:val="center"/>
          </w:tcPr>
          <w:p>
            <w:pPr>
              <w:snapToGrid w:val="0"/>
              <w:ind w:left="-109" w:leftChars="-52" w:right="-103" w:rightChars="-49"/>
              <w:jc w:val="center"/>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XX</w:t>
            </w:r>
            <w:r>
              <w:rPr>
                <w:rFonts w:hint="eastAsia" w:ascii="Times New Roman" w:hAnsi="Times New Roman" w:eastAsia="方正仿宋_GBK" w:cs="Times New Roman"/>
                <w:color w:val="000000" w:themeColor="text1"/>
                <w:sz w:val="32"/>
                <w:szCs w:val="32"/>
              </w:rPr>
              <w:t>风电场</w:t>
            </w:r>
          </w:p>
        </w:tc>
        <w:tc>
          <w:tcPr>
            <w:tcW w:w="166"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166"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168"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208"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39"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454"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90"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41" w:type="pct"/>
            <w:vAlign w:val="center"/>
          </w:tcPr>
          <w:p>
            <w:pPr>
              <w:snapToGrid w:val="0"/>
              <w:spacing w:line="600" w:lineRule="exact"/>
              <w:ind w:firstLine="640" w:firstLineChars="200"/>
              <w:jc w:val="center"/>
              <w:outlineLvl w:val="0"/>
              <w:rPr>
                <w:rFonts w:ascii="仿宋_GB2312" w:hAnsi="黑体" w:eastAsia="仿宋_GB2312" w:cs="宋体"/>
                <w:color w:val="auto"/>
                <w:kern w:val="0"/>
                <w:sz w:val="32"/>
                <w:szCs w:val="32"/>
              </w:rPr>
            </w:pPr>
          </w:p>
        </w:tc>
        <w:tc>
          <w:tcPr>
            <w:tcW w:w="391" w:type="pct"/>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90" w:type="pct"/>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227"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27"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279"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82"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190"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 w:type="pct"/>
            <w:vAlign w:val="center"/>
          </w:tcPr>
          <w:p>
            <w:pPr>
              <w:snapToGrid w:val="0"/>
              <w:ind w:left="-109" w:leftChars="-52" w:right="-48" w:rightChars="-23"/>
              <w:jc w:val="center"/>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2</w:t>
            </w:r>
          </w:p>
        </w:tc>
        <w:tc>
          <w:tcPr>
            <w:tcW w:w="416" w:type="pct"/>
            <w:vAlign w:val="center"/>
          </w:tcPr>
          <w:p>
            <w:pPr>
              <w:snapToGrid w:val="0"/>
              <w:ind w:left="-109" w:leftChars="-52" w:right="-103" w:rightChars="-49"/>
              <w:jc w:val="center"/>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XX</w:t>
            </w:r>
            <w:r>
              <w:rPr>
                <w:rFonts w:hint="eastAsia" w:ascii="Times New Roman" w:hAnsi="Times New Roman" w:eastAsia="方正仿宋_GBK" w:cs="Times New Roman"/>
                <w:color w:val="000000" w:themeColor="text1"/>
                <w:sz w:val="32"/>
                <w:szCs w:val="32"/>
              </w:rPr>
              <w:t>风电场</w:t>
            </w:r>
          </w:p>
        </w:tc>
        <w:tc>
          <w:tcPr>
            <w:tcW w:w="166"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166"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168"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208"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39"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454"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90"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41"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91" w:type="pct"/>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90" w:type="pct"/>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227"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27"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279"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82"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190"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66" w:type="pct"/>
            <w:vAlign w:val="center"/>
          </w:tcPr>
          <w:p>
            <w:pPr>
              <w:snapToGrid w:val="0"/>
              <w:ind w:left="-109" w:leftChars="-52" w:right="-48" w:rightChars="-23"/>
              <w:jc w:val="center"/>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w:t>
            </w:r>
          </w:p>
        </w:tc>
        <w:tc>
          <w:tcPr>
            <w:tcW w:w="416" w:type="pct"/>
            <w:vAlign w:val="center"/>
          </w:tcPr>
          <w:p>
            <w:pPr>
              <w:snapToGrid w:val="0"/>
              <w:spacing w:line="600" w:lineRule="exact"/>
              <w:ind w:left="-109" w:leftChars="-52" w:right="-103" w:rightChars="-49" w:firstLine="640" w:firstLineChars="200"/>
              <w:jc w:val="center"/>
              <w:outlineLvl w:val="0"/>
              <w:rPr>
                <w:rFonts w:ascii="Times New Roman" w:hAnsi="Times New Roman" w:eastAsia="方正仿宋_GBK" w:cs="Times New Roman"/>
                <w:color w:val="000000" w:themeColor="text1"/>
                <w:sz w:val="32"/>
                <w:szCs w:val="32"/>
              </w:rPr>
            </w:pPr>
          </w:p>
        </w:tc>
        <w:tc>
          <w:tcPr>
            <w:tcW w:w="166"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166"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168"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208"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39"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454"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90"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41"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91" w:type="pct"/>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90" w:type="pct"/>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227"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27"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279"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82"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190"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66" w:type="pct"/>
            <w:vAlign w:val="center"/>
          </w:tcPr>
          <w:p>
            <w:pPr>
              <w:snapToGrid w:val="0"/>
              <w:spacing w:line="600" w:lineRule="exact"/>
              <w:ind w:left="-109" w:leftChars="-52" w:right="-48" w:rightChars="-23" w:firstLine="640" w:firstLineChars="200"/>
              <w:jc w:val="center"/>
              <w:outlineLvl w:val="0"/>
              <w:rPr>
                <w:rFonts w:ascii="Times New Roman" w:hAnsi="Times New Roman" w:eastAsia="方正仿宋_GBK" w:cs="Times New Roman"/>
                <w:color w:val="000000" w:themeColor="text1"/>
                <w:sz w:val="32"/>
                <w:szCs w:val="32"/>
              </w:rPr>
            </w:pPr>
          </w:p>
        </w:tc>
        <w:tc>
          <w:tcPr>
            <w:tcW w:w="416" w:type="pct"/>
            <w:vAlign w:val="center"/>
          </w:tcPr>
          <w:p>
            <w:pPr>
              <w:snapToGrid w:val="0"/>
              <w:ind w:left="-109" w:leftChars="-52" w:right="-103" w:rightChars="-49"/>
              <w:jc w:val="center"/>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合计</w:t>
            </w:r>
          </w:p>
        </w:tc>
        <w:tc>
          <w:tcPr>
            <w:tcW w:w="500" w:type="pct"/>
            <w:gridSpan w:val="3"/>
            <w:vAlign w:val="center"/>
          </w:tcPr>
          <w:p>
            <w:pPr>
              <w:snapToGrid w:val="0"/>
              <w:jc w:val="center"/>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w:t>
            </w:r>
          </w:p>
        </w:tc>
        <w:tc>
          <w:tcPr>
            <w:tcW w:w="208"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39" w:type="pct"/>
            <w:vAlign w:val="center"/>
          </w:tcPr>
          <w:p>
            <w:pPr>
              <w:snapToGrid w:val="0"/>
              <w:jc w:val="center"/>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w:t>
            </w:r>
          </w:p>
        </w:tc>
        <w:tc>
          <w:tcPr>
            <w:tcW w:w="454"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90"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41"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91" w:type="pct"/>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90" w:type="pct"/>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227"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27"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279"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382"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c>
          <w:tcPr>
            <w:tcW w:w="190" w:type="pct"/>
            <w:vAlign w:val="center"/>
          </w:tcPr>
          <w:p>
            <w:pPr>
              <w:snapToGrid w:val="0"/>
              <w:spacing w:line="600" w:lineRule="exact"/>
              <w:ind w:firstLine="640" w:firstLineChars="200"/>
              <w:jc w:val="center"/>
              <w:outlineLvl w:val="0"/>
              <w:rPr>
                <w:rFonts w:ascii="Times New Roman" w:hAnsi="Times New Roman" w:eastAsia="方正仿宋_GBK" w:cs="Times New Roman"/>
                <w:color w:val="000000" w:themeColor="text1"/>
                <w:sz w:val="32"/>
                <w:szCs w:val="32"/>
              </w:rPr>
            </w:pPr>
          </w:p>
        </w:tc>
      </w:tr>
    </w:tbl>
    <w:p>
      <w:pPr>
        <w:snapToGrid w:val="0"/>
        <w:spacing w:line="588" w:lineRule="exact"/>
        <w:rPr>
          <w:sz w:val="32"/>
          <w:szCs w:val="32"/>
        </w:rPr>
      </w:pPr>
      <w:r>
        <w:rPr>
          <w:rFonts w:hint="eastAsia"/>
          <w:sz w:val="32"/>
          <w:szCs w:val="32"/>
        </w:rPr>
        <w:t>（注：表中风电场利用率为仅考虑系统原因受限电量情况下的利用率）</w:t>
      </w: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roan">
    <w:altName w:val="Times New Roman"/>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1519421"/>
      <w:docPartObj>
        <w:docPartGallery w:val="AutoText"/>
      </w:docPartObj>
    </w:sdtPr>
    <w:sdtContent>
      <w:p>
        <w:pPr>
          <w:pStyle w:val="7"/>
          <w:jc w:val="center"/>
        </w:pPr>
        <w:r>
          <w:fldChar w:fldCharType="begin"/>
        </w:r>
        <w:r>
          <w:instrText xml:space="preserve">PAGE   \* MERGEFORMAT</w:instrText>
        </w:r>
        <w:r>
          <w:fldChar w:fldCharType="separate"/>
        </w:r>
        <w:r>
          <w:rPr>
            <w:lang w:val="zh-CN"/>
          </w:rPr>
          <w:t>9</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YTAzYzAwYTYwNTliOTYzYzcxNzNiNGZmNGUzNmYifQ=="/>
  </w:docVars>
  <w:rsids>
    <w:rsidRoot w:val="00C44B02"/>
    <w:rsid w:val="00000F7D"/>
    <w:rsid w:val="00006780"/>
    <w:rsid w:val="00006D2B"/>
    <w:rsid w:val="00011300"/>
    <w:rsid w:val="0001256A"/>
    <w:rsid w:val="00014D54"/>
    <w:rsid w:val="00015083"/>
    <w:rsid w:val="000216F8"/>
    <w:rsid w:val="00025C92"/>
    <w:rsid w:val="00026922"/>
    <w:rsid w:val="0002794B"/>
    <w:rsid w:val="00030686"/>
    <w:rsid w:val="0003174E"/>
    <w:rsid w:val="000326A2"/>
    <w:rsid w:val="00033F58"/>
    <w:rsid w:val="00033FAF"/>
    <w:rsid w:val="0003578D"/>
    <w:rsid w:val="00036276"/>
    <w:rsid w:val="000363FC"/>
    <w:rsid w:val="000375C9"/>
    <w:rsid w:val="000418E4"/>
    <w:rsid w:val="000423D0"/>
    <w:rsid w:val="00043C9F"/>
    <w:rsid w:val="000449CD"/>
    <w:rsid w:val="00046BD5"/>
    <w:rsid w:val="00054142"/>
    <w:rsid w:val="000615D3"/>
    <w:rsid w:val="00065C31"/>
    <w:rsid w:val="000678DA"/>
    <w:rsid w:val="00070237"/>
    <w:rsid w:val="0007031C"/>
    <w:rsid w:val="00070BB7"/>
    <w:rsid w:val="00071D73"/>
    <w:rsid w:val="00072F44"/>
    <w:rsid w:val="0007311F"/>
    <w:rsid w:val="000749D4"/>
    <w:rsid w:val="00077F46"/>
    <w:rsid w:val="0008302E"/>
    <w:rsid w:val="00084043"/>
    <w:rsid w:val="00084D7A"/>
    <w:rsid w:val="00086290"/>
    <w:rsid w:val="00087FE8"/>
    <w:rsid w:val="000900C9"/>
    <w:rsid w:val="00091265"/>
    <w:rsid w:val="0009256D"/>
    <w:rsid w:val="0009570B"/>
    <w:rsid w:val="000966D4"/>
    <w:rsid w:val="00097959"/>
    <w:rsid w:val="000A2434"/>
    <w:rsid w:val="000A270C"/>
    <w:rsid w:val="000A6933"/>
    <w:rsid w:val="000A77BD"/>
    <w:rsid w:val="000B069B"/>
    <w:rsid w:val="000B16A7"/>
    <w:rsid w:val="000B2D8C"/>
    <w:rsid w:val="000B787F"/>
    <w:rsid w:val="000C23BF"/>
    <w:rsid w:val="000C353F"/>
    <w:rsid w:val="000C36E5"/>
    <w:rsid w:val="000D19BF"/>
    <w:rsid w:val="000D6BC6"/>
    <w:rsid w:val="000D7010"/>
    <w:rsid w:val="000D775E"/>
    <w:rsid w:val="000E691E"/>
    <w:rsid w:val="000F0AF2"/>
    <w:rsid w:val="00100F01"/>
    <w:rsid w:val="00103D9D"/>
    <w:rsid w:val="00104796"/>
    <w:rsid w:val="00104A1B"/>
    <w:rsid w:val="001060A3"/>
    <w:rsid w:val="001112B0"/>
    <w:rsid w:val="00121886"/>
    <w:rsid w:val="00122289"/>
    <w:rsid w:val="0012270F"/>
    <w:rsid w:val="00122F6C"/>
    <w:rsid w:val="0012535E"/>
    <w:rsid w:val="00125DC9"/>
    <w:rsid w:val="00127314"/>
    <w:rsid w:val="001327F7"/>
    <w:rsid w:val="00133CE9"/>
    <w:rsid w:val="00133D6A"/>
    <w:rsid w:val="00135AA6"/>
    <w:rsid w:val="00136438"/>
    <w:rsid w:val="00136878"/>
    <w:rsid w:val="00136FB8"/>
    <w:rsid w:val="001412CA"/>
    <w:rsid w:val="00141FA6"/>
    <w:rsid w:val="00142A37"/>
    <w:rsid w:val="00142B63"/>
    <w:rsid w:val="00143029"/>
    <w:rsid w:val="001473EB"/>
    <w:rsid w:val="0015112A"/>
    <w:rsid w:val="001519F1"/>
    <w:rsid w:val="001523CA"/>
    <w:rsid w:val="00152C9C"/>
    <w:rsid w:val="00155362"/>
    <w:rsid w:val="00156168"/>
    <w:rsid w:val="00161E51"/>
    <w:rsid w:val="001622D8"/>
    <w:rsid w:val="00163D24"/>
    <w:rsid w:val="00163F51"/>
    <w:rsid w:val="001640C2"/>
    <w:rsid w:val="0016750E"/>
    <w:rsid w:val="001701C1"/>
    <w:rsid w:val="00172BAA"/>
    <w:rsid w:val="001758AD"/>
    <w:rsid w:val="0018058B"/>
    <w:rsid w:val="0018266B"/>
    <w:rsid w:val="0018496E"/>
    <w:rsid w:val="00186230"/>
    <w:rsid w:val="0019115B"/>
    <w:rsid w:val="00192479"/>
    <w:rsid w:val="00194F34"/>
    <w:rsid w:val="00196AF6"/>
    <w:rsid w:val="001970F0"/>
    <w:rsid w:val="001A14B7"/>
    <w:rsid w:val="001A18D4"/>
    <w:rsid w:val="001A2B9B"/>
    <w:rsid w:val="001A3156"/>
    <w:rsid w:val="001A3EAE"/>
    <w:rsid w:val="001A5251"/>
    <w:rsid w:val="001A6FBC"/>
    <w:rsid w:val="001B66B3"/>
    <w:rsid w:val="001C0891"/>
    <w:rsid w:val="001C111F"/>
    <w:rsid w:val="001C3C10"/>
    <w:rsid w:val="001C58FE"/>
    <w:rsid w:val="001C692B"/>
    <w:rsid w:val="001C6CBF"/>
    <w:rsid w:val="001D1EA7"/>
    <w:rsid w:val="001D3986"/>
    <w:rsid w:val="001D7155"/>
    <w:rsid w:val="001D7325"/>
    <w:rsid w:val="001D7A79"/>
    <w:rsid w:val="001D7EC3"/>
    <w:rsid w:val="001E1786"/>
    <w:rsid w:val="001E2975"/>
    <w:rsid w:val="001F0F09"/>
    <w:rsid w:val="001F2B62"/>
    <w:rsid w:val="001F314D"/>
    <w:rsid w:val="001F46D7"/>
    <w:rsid w:val="00203B3F"/>
    <w:rsid w:val="00205090"/>
    <w:rsid w:val="0020632A"/>
    <w:rsid w:val="00207431"/>
    <w:rsid w:val="00207646"/>
    <w:rsid w:val="0021061A"/>
    <w:rsid w:val="00211BBA"/>
    <w:rsid w:val="002141A9"/>
    <w:rsid w:val="002231E3"/>
    <w:rsid w:val="00226453"/>
    <w:rsid w:val="0023074D"/>
    <w:rsid w:val="0023092F"/>
    <w:rsid w:val="00232C1E"/>
    <w:rsid w:val="002343E6"/>
    <w:rsid w:val="0023524C"/>
    <w:rsid w:val="002375C5"/>
    <w:rsid w:val="00237EB0"/>
    <w:rsid w:val="0024051C"/>
    <w:rsid w:val="002425EB"/>
    <w:rsid w:val="002428E6"/>
    <w:rsid w:val="00244733"/>
    <w:rsid w:val="002512F8"/>
    <w:rsid w:val="00253111"/>
    <w:rsid w:val="00255E6B"/>
    <w:rsid w:val="0026021E"/>
    <w:rsid w:val="002623A3"/>
    <w:rsid w:val="00263A9A"/>
    <w:rsid w:val="00265446"/>
    <w:rsid w:val="00266C6C"/>
    <w:rsid w:val="002677AC"/>
    <w:rsid w:val="002702D1"/>
    <w:rsid w:val="002703DA"/>
    <w:rsid w:val="00272EB2"/>
    <w:rsid w:val="002749BA"/>
    <w:rsid w:val="00276150"/>
    <w:rsid w:val="00276CD8"/>
    <w:rsid w:val="00282A05"/>
    <w:rsid w:val="00282D14"/>
    <w:rsid w:val="00283961"/>
    <w:rsid w:val="00286812"/>
    <w:rsid w:val="00287A08"/>
    <w:rsid w:val="00287B2F"/>
    <w:rsid w:val="00291D50"/>
    <w:rsid w:val="0029564D"/>
    <w:rsid w:val="002A0F7E"/>
    <w:rsid w:val="002A21B8"/>
    <w:rsid w:val="002B2843"/>
    <w:rsid w:val="002B2BB1"/>
    <w:rsid w:val="002B56C6"/>
    <w:rsid w:val="002C30B0"/>
    <w:rsid w:val="002C4035"/>
    <w:rsid w:val="002C6E57"/>
    <w:rsid w:val="002C779E"/>
    <w:rsid w:val="002D12DA"/>
    <w:rsid w:val="002D3B10"/>
    <w:rsid w:val="002D4D71"/>
    <w:rsid w:val="002D5526"/>
    <w:rsid w:val="002E3478"/>
    <w:rsid w:val="002F0848"/>
    <w:rsid w:val="002F4C63"/>
    <w:rsid w:val="002F53E7"/>
    <w:rsid w:val="002F551E"/>
    <w:rsid w:val="002F682F"/>
    <w:rsid w:val="00300BB3"/>
    <w:rsid w:val="003061B0"/>
    <w:rsid w:val="003062A7"/>
    <w:rsid w:val="003066C8"/>
    <w:rsid w:val="00306910"/>
    <w:rsid w:val="00307E84"/>
    <w:rsid w:val="00307EB0"/>
    <w:rsid w:val="00307F0F"/>
    <w:rsid w:val="003124E9"/>
    <w:rsid w:val="003165E1"/>
    <w:rsid w:val="00317A4C"/>
    <w:rsid w:val="0032079E"/>
    <w:rsid w:val="003224C6"/>
    <w:rsid w:val="00322610"/>
    <w:rsid w:val="003228D7"/>
    <w:rsid w:val="00325380"/>
    <w:rsid w:val="003304F2"/>
    <w:rsid w:val="00330EDD"/>
    <w:rsid w:val="003317BA"/>
    <w:rsid w:val="00332720"/>
    <w:rsid w:val="00332E93"/>
    <w:rsid w:val="00336B5D"/>
    <w:rsid w:val="003407AE"/>
    <w:rsid w:val="00342142"/>
    <w:rsid w:val="00343CB9"/>
    <w:rsid w:val="00347BBC"/>
    <w:rsid w:val="00353347"/>
    <w:rsid w:val="00353D44"/>
    <w:rsid w:val="00361EAB"/>
    <w:rsid w:val="003635A6"/>
    <w:rsid w:val="003635AB"/>
    <w:rsid w:val="00364185"/>
    <w:rsid w:val="00370305"/>
    <w:rsid w:val="00376917"/>
    <w:rsid w:val="00383E50"/>
    <w:rsid w:val="00386451"/>
    <w:rsid w:val="00392F18"/>
    <w:rsid w:val="00393114"/>
    <w:rsid w:val="00395032"/>
    <w:rsid w:val="00396EB8"/>
    <w:rsid w:val="003A49EA"/>
    <w:rsid w:val="003A53F4"/>
    <w:rsid w:val="003A7C14"/>
    <w:rsid w:val="003B0082"/>
    <w:rsid w:val="003B3BBF"/>
    <w:rsid w:val="003B3C4D"/>
    <w:rsid w:val="003B4D42"/>
    <w:rsid w:val="003B62F8"/>
    <w:rsid w:val="003B782F"/>
    <w:rsid w:val="003B7F42"/>
    <w:rsid w:val="003C054C"/>
    <w:rsid w:val="003C0997"/>
    <w:rsid w:val="003C3877"/>
    <w:rsid w:val="003D091A"/>
    <w:rsid w:val="003D34A6"/>
    <w:rsid w:val="003D3DE2"/>
    <w:rsid w:val="003D66D6"/>
    <w:rsid w:val="003E1308"/>
    <w:rsid w:val="003E3295"/>
    <w:rsid w:val="003E4081"/>
    <w:rsid w:val="003E7617"/>
    <w:rsid w:val="003F1080"/>
    <w:rsid w:val="003F4BFC"/>
    <w:rsid w:val="003F5E17"/>
    <w:rsid w:val="00405338"/>
    <w:rsid w:val="00410450"/>
    <w:rsid w:val="004109E9"/>
    <w:rsid w:val="00413531"/>
    <w:rsid w:val="00413FCE"/>
    <w:rsid w:val="00422889"/>
    <w:rsid w:val="00425791"/>
    <w:rsid w:val="0042589C"/>
    <w:rsid w:val="00427B56"/>
    <w:rsid w:val="004353AE"/>
    <w:rsid w:val="00435744"/>
    <w:rsid w:val="00440165"/>
    <w:rsid w:val="00441994"/>
    <w:rsid w:val="004477BF"/>
    <w:rsid w:val="0045133E"/>
    <w:rsid w:val="00452684"/>
    <w:rsid w:val="004535E4"/>
    <w:rsid w:val="00453E67"/>
    <w:rsid w:val="00454110"/>
    <w:rsid w:val="00456DC7"/>
    <w:rsid w:val="004604FB"/>
    <w:rsid w:val="0046382A"/>
    <w:rsid w:val="00463BE3"/>
    <w:rsid w:val="00463D2A"/>
    <w:rsid w:val="004676FA"/>
    <w:rsid w:val="00474925"/>
    <w:rsid w:val="00477589"/>
    <w:rsid w:val="00477AF2"/>
    <w:rsid w:val="0048020E"/>
    <w:rsid w:val="0048520A"/>
    <w:rsid w:val="004857AC"/>
    <w:rsid w:val="00486BCB"/>
    <w:rsid w:val="00494ADE"/>
    <w:rsid w:val="004A0B1D"/>
    <w:rsid w:val="004A358A"/>
    <w:rsid w:val="004A4570"/>
    <w:rsid w:val="004A4F9B"/>
    <w:rsid w:val="004A5482"/>
    <w:rsid w:val="004B2C35"/>
    <w:rsid w:val="004B787A"/>
    <w:rsid w:val="004C0689"/>
    <w:rsid w:val="004C3BDB"/>
    <w:rsid w:val="004C705E"/>
    <w:rsid w:val="004C740F"/>
    <w:rsid w:val="004D3D29"/>
    <w:rsid w:val="004D5E02"/>
    <w:rsid w:val="004E26B3"/>
    <w:rsid w:val="004E5E79"/>
    <w:rsid w:val="004E66EC"/>
    <w:rsid w:val="004F019B"/>
    <w:rsid w:val="004F2493"/>
    <w:rsid w:val="004F27ED"/>
    <w:rsid w:val="004F3760"/>
    <w:rsid w:val="0050262B"/>
    <w:rsid w:val="00503B37"/>
    <w:rsid w:val="0050417A"/>
    <w:rsid w:val="00505061"/>
    <w:rsid w:val="0050613B"/>
    <w:rsid w:val="00512A49"/>
    <w:rsid w:val="00514654"/>
    <w:rsid w:val="00514B3C"/>
    <w:rsid w:val="00521314"/>
    <w:rsid w:val="00523949"/>
    <w:rsid w:val="005317C5"/>
    <w:rsid w:val="00532028"/>
    <w:rsid w:val="00532923"/>
    <w:rsid w:val="00533F0F"/>
    <w:rsid w:val="005359AB"/>
    <w:rsid w:val="0054372F"/>
    <w:rsid w:val="00543839"/>
    <w:rsid w:val="005462EE"/>
    <w:rsid w:val="005501EF"/>
    <w:rsid w:val="005522FC"/>
    <w:rsid w:val="00553B73"/>
    <w:rsid w:val="00557167"/>
    <w:rsid w:val="00560204"/>
    <w:rsid w:val="00560893"/>
    <w:rsid w:val="00562CEC"/>
    <w:rsid w:val="00565A8E"/>
    <w:rsid w:val="00572673"/>
    <w:rsid w:val="0057694D"/>
    <w:rsid w:val="00577FF5"/>
    <w:rsid w:val="00581052"/>
    <w:rsid w:val="005813C1"/>
    <w:rsid w:val="00585EE8"/>
    <w:rsid w:val="00586640"/>
    <w:rsid w:val="005945A4"/>
    <w:rsid w:val="00594FC7"/>
    <w:rsid w:val="00596D4E"/>
    <w:rsid w:val="00597AB0"/>
    <w:rsid w:val="005A0823"/>
    <w:rsid w:val="005A21D2"/>
    <w:rsid w:val="005A29C8"/>
    <w:rsid w:val="005A33A2"/>
    <w:rsid w:val="005A403C"/>
    <w:rsid w:val="005A6140"/>
    <w:rsid w:val="005A6F5A"/>
    <w:rsid w:val="005B0F2C"/>
    <w:rsid w:val="005B17BA"/>
    <w:rsid w:val="005B2574"/>
    <w:rsid w:val="005B38D7"/>
    <w:rsid w:val="005B3ED1"/>
    <w:rsid w:val="005C0938"/>
    <w:rsid w:val="005C1CD2"/>
    <w:rsid w:val="005C69F1"/>
    <w:rsid w:val="005C7D52"/>
    <w:rsid w:val="005C7E86"/>
    <w:rsid w:val="005D2B57"/>
    <w:rsid w:val="005E2D20"/>
    <w:rsid w:val="005E349E"/>
    <w:rsid w:val="005E3AD2"/>
    <w:rsid w:val="005E686D"/>
    <w:rsid w:val="005F02BD"/>
    <w:rsid w:val="005F1658"/>
    <w:rsid w:val="005F22AC"/>
    <w:rsid w:val="005F2EF9"/>
    <w:rsid w:val="005F57BC"/>
    <w:rsid w:val="0061110F"/>
    <w:rsid w:val="00611AB0"/>
    <w:rsid w:val="00616666"/>
    <w:rsid w:val="00617428"/>
    <w:rsid w:val="0062006F"/>
    <w:rsid w:val="006217BF"/>
    <w:rsid w:val="00625A5C"/>
    <w:rsid w:val="006314CD"/>
    <w:rsid w:val="00632197"/>
    <w:rsid w:val="006348BA"/>
    <w:rsid w:val="00641437"/>
    <w:rsid w:val="00646AB7"/>
    <w:rsid w:val="00653358"/>
    <w:rsid w:val="0066064F"/>
    <w:rsid w:val="00660A10"/>
    <w:rsid w:val="00660B99"/>
    <w:rsid w:val="00662981"/>
    <w:rsid w:val="0066408F"/>
    <w:rsid w:val="006678C4"/>
    <w:rsid w:val="00671D90"/>
    <w:rsid w:val="00671DC9"/>
    <w:rsid w:val="00671E9F"/>
    <w:rsid w:val="0067307E"/>
    <w:rsid w:val="00674815"/>
    <w:rsid w:val="0068154A"/>
    <w:rsid w:val="00683C21"/>
    <w:rsid w:val="006845F3"/>
    <w:rsid w:val="0068557B"/>
    <w:rsid w:val="00687C5D"/>
    <w:rsid w:val="0069159E"/>
    <w:rsid w:val="00693136"/>
    <w:rsid w:val="00693348"/>
    <w:rsid w:val="00693E77"/>
    <w:rsid w:val="00694ED7"/>
    <w:rsid w:val="00695AE0"/>
    <w:rsid w:val="00697CDB"/>
    <w:rsid w:val="006A0383"/>
    <w:rsid w:val="006A060F"/>
    <w:rsid w:val="006A50A4"/>
    <w:rsid w:val="006A5268"/>
    <w:rsid w:val="006A52E6"/>
    <w:rsid w:val="006A69DE"/>
    <w:rsid w:val="006A7A76"/>
    <w:rsid w:val="006B216F"/>
    <w:rsid w:val="006B2A6E"/>
    <w:rsid w:val="006B43CD"/>
    <w:rsid w:val="006B4711"/>
    <w:rsid w:val="006B47D1"/>
    <w:rsid w:val="006B49EC"/>
    <w:rsid w:val="006B7232"/>
    <w:rsid w:val="006C3D5B"/>
    <w:rsid w:val="006C4BD6"/>
    <w:rsid w:val="006C798E"/>
    <w:rsid w:val="006D1505"/>
    <w:rsid w:val="006D2D0E"/>
    <w:rsid w:val="006D501D"/>
    <w:rsid w:val="006D68B9"/>
    <w:rsid w:val="006D7B9A"/>
    <w:rsid w:val="006E0A63"/>
    <w:rsid w:val="006E232D"/>
    <w:rsid w:val="006E5AFB"/>
    <w:rsid w:val="006F022F"/>
    <w:rsid w:val="006F19BE"/>
    <w:rsid w:val="006F3BB2"/>
    <w:rsid w:val="006F4177"/>
    <w:rsid w:val="006F46D5"/>
    <w:rsid w:val="006F4CDD"/>
    <w:rsid w:val="006F5B24"/>
    <w:rsid w:val="006F5CDB"/>
    <w:rsid w:val="006F628A"/>
    <w:rsid w:val="006F63F0"/>
    <w:rsid w:val="00701F7C"/>
    <w:rsid w:val="007031DB"/>
    <w:rsid w:val="00704032"/>
    <w:rsid w:val="007055EF"/>
    <w:rsid w:val="00705B82"/>
    <w:rsid w:val="0070653C"/>
    <w:rsid w:val="00710002"/>
    <w:rsid w:val="00710E8C"/>
    <w:rsid w:val="007113A9"/>
    <w:rsid w:val="00711BD9"/>
    <w:rsid w:val="00717850"/>
    <w:rsid w:val="00722090"/>
    <w:rsid w:val="007227E6"/>
    <w:rsid w:val="00725464"/>
    <w:rsid w:val="00726448"/>
    <w:rsid w:val="007342CE"/>
    <w:rsid w:val="007403EE"/>
    <w:rsid w:val="007410B0"/>
    <w:rsid w:val="00743195"/>
    <w:rsid w:val="007443C1"/>
    <w:rsid w:val="00747D4C"/>
    <w:rsid w:val="00751C64"/>
    <w:rsid w:val="00753894"/>
    <w:rsid w:val="0075494C"/>
    <w:rsid w:val="00754EF7"/>
    <w:rsid w:val="00756CFE"/>
    <w:rsid w:val="007606DD"/>
    <w:rsid w:val="0076208D"/>
    <w:rsid w:val="0076260F"/>
    <w:rsid w:val="007630A9"/>
    <w:rsid w:val="007633FD"/>
    <w:rsid w:val="007638F9"/>
    <w:rsid w:val="007643CA"/>
    <w:rsid w:val="00765610"/>
    <w:rsid w:val="00770A90"/>
    <w:rsid w:val="00773176"/>
    <w:rsid w:val="00773543"/>
    <w:rsid w:val="00773630"/>
    <w:rsid w:val="00776DA1"/>
    <w:rsid w:val="00785B92"/>
    <w:rsid w:val="00787E33"/>
    <w:rsid w:val="00790319"/>
    <w:rsid w:val="007937B3"/>
    <w:rsid w:val="00795503"/>
    <w:rsid w:val="0079648D"/>
    <w:rsid w:val="007A0079"/>
    <w:rsid w:val="007A0337"/>
    <w:rsid w:val="007A1C3F"/>
    <w:rsid w:val="007A1E5B"/>
    <w:rsid w:val="007A1F1E"/>
    <w:rsid w:val="007A3171"/>
    <w:rsid w:val="007A44A3"/>
    <w:rsid w:val="007A4D0D"/>
    <w:rsid w:val="007A6C44"/>
    <w:rsid w:val="007B0840"/>
    <w:rsid w:val="007B1ACB"/>
    <w:rsid w:val="007B224E"/>
    <w:rsid w:val="007B7DAE"/>
    <w:rsid w:val="007C01DB"/>
    <w:rsid w:val="007C05DD"/>
    <w:rsid w:val="007C0B04"/>
    <w:rsid w:val="007C27A3"/>
    <w:rsid w:val="007C3D35"/>
    <w:rsid w:val="007C68B0"/>
    <w:rsid w:val="007D0F1E"/>
    <w:rsid w:val="007D3C60"/>
    <w:rsid w:val="007D3CED"/>
    <w:rsid w:val="007D558F"/>
    <w:rsid w:val="007D5AE4"/>
    <w:rsid w:val="007D62F3"/>
    <w:rsid w:val="007D6A9B"/>
    <w:rsid w:val="007E0342"/>
    <w:rsid w:val="007E0958"/>
    <w:rsid w:val="007E2312"/>
    <w:rsid w:val="007E5693"/>
    <w:rsid w:val="007F0537"/>
    <w:rsid w:val="007F0FAC"/>
    <w:rsid w:val="007F2739"/>
    <w:rsid w:val="007F2D2A"/>
    <w:rsid w:val="007F5759"/>
    <w:rsid w:val="007F5F14"/>
    <w:rsid w:val="00802170"/>
    <w:rsid w:val="00802700"/>
    <w:rsid w:val="00803DBA"/>
    <w:rsid w:val="008047BA"/>
    <w:rsid w:val="00807805"/>
    <w:rsid w:val="00811574"/>
    <w:rsid w:val="008120A8"/>
    <w:rsid w:val="00814E5D"/>
    <w:rsid w:val="00816F31"/>
    <w:rsid w:val="0081766A"/>
    <w:rsid w:val="00817E2E"/>
    <w:rsid w:val="008200BC"/>
    <w:rsid w:val="008244A9"/>
    <w:rsid w:val="00830101"/>
    <w:rsid w:val="00833BF1"/>
    <w:rsid w:val="00834C36"/>
    <w:rsid w:val="0083525B"/>
    <w:rsid w:val="008355C3"/>
    <w:rsid w:val="00837744"/>
    <w:rsid w:val="00841515"/>
    <w:rsid w:val="00841EC2"/>
    <w:rsid w:val="00845C4D"/>
    <w:rsid w:val="00852D4D"/>
    <w:rsid w:val="008547E3"/>
    <w:rsid w:val="0086330D"/>
    <w:rsid w:val="00865A3D"/>
    <w:rsid w:val="00870770"/>
    <w:rsid w:val="00870E75"/>
    <w:rsid w:val="00883D0F"/>
    <w:rsid w:val="0088675A"/>
    <w:rsid w:val="008871E4"/>
    <w:rsid w:val="00891CDD"/>
    <w:rsid w:val="00893A00"/>
    <w:rsid w:val="0089634A"/>
    <w:rsid w:val="008A19F0"/>
    <w:rsid w:val="008A2234"/>
    <w:rsid w:val="008B46C9"/>
    <w:rsid w:val="008B5198"/>
    <w:rsid w:val="008B6FB8"/>
    <w:rsid w:val="008B70BA"/>
    <w:rsid w:val="008C0E46"/>
    <w:rsid w:val="008C1469"/>
    <w:rsid w:val="008C19A6"/>
    <w:rsid w:val="008C386E"/>
    <w:rsid w:val="008C542E"/>
    <w:rsid w:val="008C7C63"/>
    <w:rsid w:val="008D0DD5"/>
    <w:rsid w:val="008D3A54"/>
    <w:rsid w:val="008D5574"/>
    <w:rsid w:val="008D6FD0"/>
    <w:rsid w:val="008D7963"/>
    <w:rsid w:val="008E623B"/>
    <w:rsid w:val="008F3F59"/>
    <w:rsid w:val="008F44D0"/>
    <w:rsid w:val="008F5420"/>
    <w:rsid w:val="008F671F"/>
    <w:rsid w:val="008F71C4"/>
    <w:rsid w:val="008F7EF2"/>
    <w:rsid w:val="0090558B"/>
    <w:rsid w:val="00905E92"/>
    <w:rsid w:val="009064F1"/>
    <w:rsid w:val="00907306"/>
    <w:rsid w:val="00911500"/>
    <w:rsid w:val="00912A50"/>
    <w:rsid w:val="0091448A"/>
    <w:rsid w:val="00915306"/>
    <w:rsid w:val="009157D5"/>
    <w:rsid w:val="009162EF"/>
    <w:rsid w:val="00916672"/>
    <w:rsid w:val="00916B2B"/>
    <w:rsid w:val="009237AB"/>
    <w:rsid w:val="00926BF4"/>
    <w:rsid w:val="009324AF"/>
    <w:rsid w:val="009329C2"/>
    <w:rsid w:val="00932AFB"/>
    <w:rsid w:val="0093340F"/>
    <w:rsid w:val="00947682"/>
    <w:rsid w:val="0095360E"/>
    <w:rsid w:val="00954422"/>
    <w:rsid w:val="00954B04"/>
    <w:rsid w:val="00954E98"/>
    <w:rsid w:val="0095607D"/>
    <w:rsid w:val="0095745D"/>
    <w:rsid w:val="00957794"/>
    <w:rsid w:val="009619BC"/>
    <w:rsid w:val="00963542"/>
    <w:rsid w:val="009642E3"/>
    <w:rsid w:val="00970341"/>
    <w:rsid w:val="009709B5"/>
    <w:rsid w:val="00974497"/>
    <w:rsid w:val="009764A7"/>
    <w:rsid w:val="0097779C"/>
    <w:rsid w:val="00977D10"/>
    <w:rsid w:val="00981159"/>
    <w:rsid w:val="00981A9A"/>
    <w:rsid w:val="0098788F"/>
    <w:rsid w:val="00990C2A"/>
    <w:rsid w:val="0099781F"/>
    <w:rsid w:val="009A0973"/>
    <w:rsid w:val="009A1CC4"/>
    <w:rsid w:val="009A4031"/>
    <w:rsid w:val="009A6266"/>
    <w:rsid w:val="009A6441"/>
    <w:rsid w:val="009B0FCD"/>
    <w:rsid w:val="009B1C18"/>
    <w:rsid w:val="009B4569"/>
    <w:rsid w:val="009C0E3F"/>
    <w:rsid w:val="009C1251"/>
    <w:rsid w:val="009C12E9"/>
    <w:rsid w:val="009C42E3"/>
    <w:rsid w:val="009C44E9"/>
    <w:rsid w:val="009C5226"/>
    <w:rsid w:val="009D4F4E"/>
    <w:rsid w:val="009E09D4"/>
    <w:rsid w:val="009E1450"/>
    <w:rsid w:val="009E18B5"/>
    <w:rsid w:val="009E56BD"/>
    <w:rsid w:val="009E6CE6"/>
    <w:rsid w:val="009F41F9"/>
    <w:rsid w:val="009F4CC0"/>
    <w:rsid w:val="009F7426"/>
    <w:rsid w:val="00A0425F"/>
    <w:rsid w:val="00A0474B"/>
    <w:rsid w:val="00A04A66"/>
    <w:rsid w:val="00A05ECB"/>
    <w:rsid w:val="00A074A0"/>
    <w:rsid w:val="00A07CAE"/>
    <w:rsid w:val="00A17FDF"/>
    <w:rsid w:val="00A20C67"/>
    <w:rsid w:val="00A22391"/>
    <w:rsid w:val="00A22E5E"/>
    <w:rsid w:val="00A23176"/>
    <w:rsid w:val="00A24FF9"/>
    <w:rsid w:val="00A27A0B"/>
    <w:rsid w:val="00A27C02"/>
    <w:rsid w:val="00A3091A"/>
    <w:rsid w:val="00A32B6D"/>
    <w:rsid w:val="00A40216"/>
    <w:rsid w:val="00A40935"/>
    <w:rsid w:val="00A40AFD"/>
    <w:rsid w:val="00A41C68"/>
    <w:rsid w:val="00A43901"/>
    <w:rsid w:val="00A45074"/>
    <w:rsid w:val="00A45E30"/>
    <w:rsid w:val="00A463D6"/>
    <w:rsid w:val="00A50C1D"/>
    <w:rsid w:val="00A54A2F"/>
    <w:rsid w:val="00A558DA"/>
    <w:rsid w:val="00A57281"/>
    <w:rsid w:val="00A62124"/>
    <w:rsid w:val="00A653D9"/>
    <w:rsid w:val="00A71782"/>
    <w:rsid w:val="00A72F6C"/>
    <w:rsid w:val="00A75DCE"/>
    <w:rsid w:val="00A85EB2"/>
    <w:rsid w:val="00A863D2"/>
    <w:rsid w:val="00A86F24"/>
    <w:rsid w:val="00A86FED"/>
    <w:rsid w:val="00A873A1"/>
    <w:rsid w:val="00A874D1"/>
    <w:rsid w:val="00A91B5C"/>
    <w:rsid w:val="00A94A41"/>
    <w:rsid w:val="00AA0087"/>
    <w:rsid w:val="00AA5658"/>
    <w:rsid w:val="00AA69A7"/>
    <w:rsid w:val="00AA6A56"/>
    <w:rsid w:val="00AB1400"/>
    <w:rsid w:val="00AB4271"/>
    <w:rsid w:val="00AB4D19"/>
    <w:rsid w:val="00AB505B"/>
    <w:rsid w:val="00AB5C64"/>
    <w:rsid w:val="00AC107D"/>
    <w:rsid w:val="00AC2A53"/>
    <w:rsid w:val="00AD17D1"/>
    <w:rsid w:val="00AD2190"/>
    <w:rsid w:val="00AD3769"/>
    <w:rsid w:val="00AD551A"/>
    <w:rsid w:val="00AE0C73"/>
    <w:rsid w:val="00AE0FFF"/>
    <w:rsid w:val="00AE27BD"/>
    <w:rsid w:val="00AE3250"/>
    <w:rsid w:val="00AF592B"/>
    <w:rsid w:val="00B003CA"/>
    <w:rsid w:val="00B008DF"/>
    <w:rsid w:val="00B0130D"/>
    <w:rsid w:val="00B01491"/>
    <w:rsid w:val="00B038D5"/>
    <w:rsid w:val="00B03B20"/>
    <w:rsid w:val="00B12A66"/>
    <w:rsid w:val="00B12ABD"/>
    <w:rsid w:val="00B15E94"/>
    <w:rsid w:val="00B175DE"/>
    <w:rsid w:val="00B202D4"/>
    <w:rsid w:val="00B22C95"/>
    <w:rsid w:val="00B252C0"/>
    <w:rsid w:val="00B31259"/>
    <w:rsid w:val="00B31361"/>
    <w:rsid w:val="00B35966"/>
    <w:rsid w:val="00B41B7C"/>
    <w:rsid w:val="00B42476"/>
    <w:rsid w:val="00B42996"/>
    <w:rsid w:val="00B42E5A"/>
    <w:rsid w:val="00B430B7"/>
    <w:rsid w:val="00B433CA"/>
    <w:rsid w:val="00B45BA0"/>
    <w:rsid w:val="00B46390"/>
    <w:rsid w:val="00B47BB3"/>
    <w:rsid w:val="00B5026A"/>
    <w:rsid w:val="00B50C3C"/>
    <w:rsid w:val="00B533A1"/>
    <w:rsid w:val="00B5454C"/>
    <w:rsid w:val="00B56916"/>
    <w:rsid w:val="00B6077C"/>
    <w:rsid w:val="00B60FBA"/>
    <w:rsid w:val="00B62D4D"/>
    <w:rsid w:val="00B63A78"/>
    <w:rsid w:val="00B70943"/>
    <w:rsid w:val="00B70C1A"/>
    <w:rsid w:val="00B73CCF"/>
    <w:rsid w:val="00B748F2"/>
    <w:rsid w:val="00B7564D"/>
    <w:rsid w:val="00B765FC"/>
    <w:rsid w:val="00B85AA0"/>
    <w:rsid w:val="00B94F94"/>
    <w:rsid w:val="00B960A4"/>
    <w:rsid w:val="00B960E8"/>
    <w:rsid w:val="00BA0F12"/>
    <w:rsid w:val="00BA447F"/>
    <w:rsid w:val="00BB12C3"/>
    <w:rsid w:val="00BB1E7D"/>
    <w:rsid w:val="00BB375B"/>
    <w:rsid w:val="00BB383A"/>
    <w:rsid w:val="00BB3C3F"/>
    <w:rsid w:val="00BB443F"/>
    <w:rsid w:val="00BB5340"/>
    <w:rsid w:val="00BC0ACA"/>
    <w:rsid w:val="00BC1F0F"/>
    <w:rsid w:val="00BC44D2"/>
    <w:rsid w:val="00BC4FC3"/>
    <w:rsid w:val="00BC58F0"/>
    <w:rsid w:val="00BD1822"/>
    <w:rsid w:val="00BD2AE4"/>
    <w:rsid w:val="00BE0AFE"/>
    <w:rsid w:val="00BE2063"/>
    <w:rsid w:val="00BE3360"/>
    <w:rsid w:val="00BE4E2E"/>
    <w:rsid w:val="00BE7244"/>
    <w:rsid w:val="00BF2468"/>
    <w:rsid w:val="00BF27BC"/>
    <w:rsid w:val="00C04F3D"/>
    <w:rsid w:val="00C07C62"/>
    <w:rsid w:val="00C07FB1"/>
    <w:rsid w:val="00C114C8"/>
    <w:rsid w:val="00C11A78"/>
    <w:rsid w:val="00C12BA0"/>
    <w:rsid w:val="00C17084"/>
    <w:rsid w:val="00C2076F"/>
    <w:rsid w:val="00C23342"/>
    <w:rsid w:val="00C27E3E"/>
    <w:rsid w:val="00C30A78"/>
    <w:rsid w:val="00C3112A"/>
    <w:rsid w:val="00C3224A"/>
    <w:rsid w:val="00C334DC"/>
    <w:rsid w:val="00C364F9"/>
    <w:rsid w:val="00C36DDE"/>
    <w:rsid w:val="00C41B33"/>
    <w:rsid w:val="00C4249B"/>
    <w:rsid w:val="00C44B02"/>
    <w:rsid w:val="00C45A77"/>
    <w:rsid w:val="00C5156E"/>
    <w:rsid w:val="00C531BB"/>
    <w:rsid w:val="00C62778"/>
    <w:rsid w:val="00C653E2"/>
    <w:rsid w:val="00C65A3E"/>
    <w:rsid w:val="00C7296A"/>
    <w:rsid w:val="00C74633"/>
    <w:rsid w:val="00C750E9"/>
    <w:rsid w:val="00C76FE9"/>
    <w:rsid w:val="00C7753F"/>
    <w:rsid w:val="00C816FD"/>
    <w:rsid w:val="00C857FC"/>
    <w:rsid w:val="00C91396"/>
    <w:rsid w:val="00C9228E"/>
    <w:rsid w:val="00C92A10"/>
    <w:rsid w:val="00C92D54"/>
    <w:rsid w:val="00C942F3"/>
    <w:rsid w:val="00C94DA5"/>
    <w:rsid w:val="00C9634E"/>
    <w:rsid w:val="00CA1ED3"/>
    <w:rsid w:val="00CA3E62"/>
    <w:rsid w:val="00CA5060"/>
    <w:rsid w:val="00CB5209"/>
    <w:rsid w:val="00CB6382"/>
    <w:rsid w:val="00CB6F6E"/>
    <w:rsid w:val="00CB71BA"/>
    <w:rsid w:val="00CB78AB"/>
    <w:rsid w:val="00CD2CE3"/>
    <w:rsid w:val="00CD37BE"/>
    <w:rsid w:val="00CD4C27"/>
    <w:rsid w:val="00CD5D3D"/>
    <w:rsid w:val="00CD7510"/>
    <w:rsid w:val="00CE35D2"/>
    <w:rsid w:val="00CE4757"/>
    <w:rsid w:val="00CE66B0"/>
    <w:rsid w:val="00CE74BE"/>
    <w:rsid w:val="00CF2A69"/>
    <w:rsid w:val="00CF74F2"/>
    <w:rsid w:val="00CF7965"/>
    <w:rsid w:val="00D01149"/>
    <w:rsid w:val="00D05B8D"/>
    <w:rsid w:val="00D07AE0"/>
    <w:rsid w:val="00D11725"/>
    <w:rsid w:val="00D13F42"/>
    <w:rsid w:val="00D15A3D"/>
    <w:rsid w:val="00D15AD7"/>
    <w:rsid w:val="00D17921"/>
    <w:rsid w:val="00D200FB"/>
    <w:rsid w:val="00D25D8E"/>
    <w:rsid w:val="00D2738C"/>
    <w:rsid w:val="00D40778"/>
    <w:rsid w:val="00D40E86"/>
    <w:rsid w:val="00D411B1"/>
    <w:rsid w:val="00D41B17"/>
    <w:rsid w:val="00D43089"/>
    <w:rsid w:val="00D47C08"/>
    <w:rsid w:val="00D529B5"/>
    <w:rsid w:val="00D53A04"/>
    <w:rsid w:val="00D542D8"/>
    <w:rsid w:val="00D56223"/>
    <w:rsid w:val="00D57D3A"/>
    <w:rsid w:val="00D62006"/>
    <w:rsid w:val="00D646E7"/>
    <w:rsid w:val="00D64878"/>
    <w:rsid w:val="00D651AD"/>
    <w:rsid w:val="00D667D5"/>
    <w:rsid w:val="00D701F4"/>
    <w:rsid w:val="00D70A93"/>
    <w:rsid w:val="00D70BE1"/>
    <w:rsid w:val="00D72029"/>
    <w:rsid w:val="00D742DB"/>
    <w:rsid w:val="00D75981"/>
    <w:rsid w:val="00D76750"/>
    <w:rsid w:val="00D77373"/>
    <w:rsid w:val="00D8011B"/>
    <w:rsid w:val="00D80536"/>
    <w:rsid w:val="00D8088B"/>
    <w:rsid w:val="00D82477"/>
    <w:rsid w:val="00D833CE"/>
    <w:rsid w:val="00D835F7"/>
    <w:rsid w:val="00D85656"/>
    <w:rsid w:val="00D935A8"/>
    <w:rsid w:val="00D94292"/>
    <w:rsid w:val="00D94448"/>
    <w:rsid w:val="00D9461F"/>
    <w:rsid w:val="00D947CC"/>
    <w:rsid w:val="00D958F2"/>
    <w:rsid w:val="00D9632D"/>
    <w:rsid w:val="00D9707C"/>
    <w:rsid w:val="00DA0927"/>
    <w:rsid w:val="00DA3031"/>
    <w:rsid w:val="00DA6742"/>
    <w:rsid w:val="00DA7749"/>
    <w:rsid w:val="00DB0473"/>
    <w:rsid w:val="00DB6C73"/>
    <w:rsid w:val="00DB6D2A"/>
    <w:rsid w:val="00DC0432"/>
    <w:rsid w:val="00DC1138"/>
    <w:rsid w:val="00DC21B5"/>
    <w:rsid w:val="00DC675D"/>
    <w:rsid w:val="00DC6B9E"/>
    <w:rsid w:val="00DD092F"/>
    <w:rsid w:val="00DD14DC"/>
    <w:rsid w:val="00DE0368"/>
    <w:rsid w:val="00DE0DE0"/>
    <w:rsid w:val="00DE2AB2"/>
    <w:rsid w:val="00DE35E8"/>
    <w:rsid w:val="00DE4979"/>
    <w:rsid w:val="00DF0F67"/>
    <w:rsid w:val="00DF1629"/>
    <w:rsid w:val="00DF2143"/>
    <w:rsid w:val="00DF3755"/>
    <w:rsid w:val="00DF41FF"/>
    <w:rsid w:val="00DF4957"/>
    <w:rsid w:val="00DF4B33"/>
    <w:rsid w:val="00DF5DF6"/>
    <w:rsid w:val="00DF60AE"/>
    <w:rsid w:val="00DF7B9E"/>
    <w:rsid w:val="00E0049D"/>
    <w:rsid w:val="00E02F58"/>
    <w:rsid w:val="00E04BA9"/>
    <w:rsid w:val="00E06BC1"/>
    <w:rsid w:val="00E06C01"/>
    <w:rsid w:val="00E107CD"/>
    <w:rsid w:val="00E10C93"/>
    <w:rsid w:val="00E12B6A"/>
    <w:rsid w:val="00E12FB1"/>
    <w:rsid w:val="00E14817"/>
    <w:rsid w:val="00E1676F"/>
    <w:rsid w:val="00E2204A"/>
    <w:rsid w:val="00E22C50"/>
    <w:rsid w:val="00E34174"/>
    <w:rsid w:val="00E347ED"/>
    <w:rsid w:val="00E3513F"/>
    <w:rsid w:val="00E36B4F"/>
    <w:rsid w:val="00E44652"/>
    <w:rsid w:val="00E4522B"/>
    <w:rsid w:val="00E46382"/>
    <w:rsid w:val="00E50A6B"/>
    <w:rsid w:val="00E5172E"/>
    <w:rsid w:val="00E52242"/>
    <w:rsid w:val="00E544FF"/>
    <w:rsid w:val="00E55026"/>
    <w:rsid w:val="00E560DE"/>
    <w:rsid w:val="00E5680E"/>
    <w:rsid w:val="00E56C98"/>
    <w:rsid w:val="00E57DD5"/>
    <w:rsid w:val="00E57EDD"/>
    <w:rsid w:val="00E62043"/>
    <w:rsid w:val="00E634C4"/>
    <w:rsid w:val="00E66A55"/>
    <w:rsid w:val="00E66FED"/>
    <w:rsid w:val="00E679C3"/>
    <w:rsid w:val="00E70610"/>
    <w:rsid w:val="00E71AAA"/>
    <w:rsid w:val="00E7207B"/>
    <w:rsid w:val="00E72515"/>
    <w:rsid w:val="00E72CF3"/>
    <w:rsid w:val="00E76CAE"/>
    <w:rsid w:val="00E80711"/>
    <w:rsid w:val="00E8081D"/>
    <w:rsid w:val="00E85F79"/>
    <w:rsid w:val="00E91379"/>
    <w:rsid w:val="00E91A03"/>
    <w:rsid w:val="00E968FA"/>
    <w:rsid w:val="00EA533F"/>
    <w:rsid w:val="00EB2588"/>
    <w:rsid w:val="00EB2A5C"/>
    <w:rsid w:val="00EB62BB"/>
    <w:rsid w:val="00EC0031"/>
    <w:rsid w:val="00EC296A"/>
    <w:rsid w:val="00EC4246"/>
    <w:rsid w:val="00EC7086"/>
    <w:rsid w:val="00ED4230"/>
    <w:rsid w:val="00ED4989"/>
    <w:rsid w:val="00EE0205"/>
    <w:rsid w:val="00EE0910"/>
    <w:rsid w:val="00EE238D"/>
    <w:rsid w:val="00EE366F"/>
    <w:rsid w:val="00EE396C"/>
    <w:rsid w:val="00EE4B63"/>
    <w:rsid w:val="00EE4CDC"/>
    <w:rsid w:val="00F04658"/>
    <w:rsid w:val="00F05C4C"/>
    <w:rsid w:val="00F11E0B"/>
    <w:rsid w:val="00F141EB"/>
    <w:rsid w:val="00F15785"/>
    <w:rsid w:val="00F170F8"/>
    <w:rsid w:val="00F20103"/>
    <w:rsid w:val="00F20921"/>
    <w:rsid w:val="00F209B2"/>
    <w:rsid w:val="00F26B10"/>
    <w:rsid w:val="00F30021"/>
    <w:rsid w:val="00F303FC"/>
    <w:rsid w:val="00F31ED6"/>
    <w:rsid w:val="00F35027"/>
    <w:rsid w:val="00F36FA3"/>
    <w:rsid w:val="00F4294E"/>
    <w:rsid w:val="00F444BB"/>
    <w:rsid w:val="00F45C57"/>
    <w:rsid w:val="00F52604"/>
    <w:rsid w:val="00F53633"/>
    <w:rsid w:val="00F55974"/>
    <w:rsid w:val="00F55B44"/>
    <w:rsid w:val="00F6086B"/>
    <w:rsid w:val="00F60B05"/>
    <w:rsid w:val="00F641F8"/>
    <w:rsid w:val="00F66B62"/>
    <w:rsid w:val="00F71C31"/>
    <w:rsid w:val="00F763D3"/>
    <w:rsid w:val="00F8042C"/>
    <w:rsid w:val="00F8487C"/>
    <w:rsid w:val="00F85EA1"/>
    <w:rsid w:val="00F871E9"/>
    <w:rsid w:val="00F87227"/>
    <w:rsid w:val="00F92D07"/>
    <w:rsid w:val="00F9418E"/>
    <w:rsid w:val="00F97164"/>
    <w:rsid w:val="00FA05EC"/>
    <w:rsid w:val="00FA0C96"/>
    <w:rsid w:val="00FA1E1F"/>
    <w:rsid w:val="00FA4CC2"/>
    <w:rsid w:val="00FA513C"/>
    <w:rsid w:val="00FA67BE"/>
    <w:rsid w:val="00FB0C06"/>
    <w:rsid w:val="00FB1E19"/>
    <w:rsid w:val="00FB40A4"/>
    <w:rsid w:val="00FB6CD9"/>
    <w:rsid w:val="00FC2F3E"/>
    <w:rsid w:val="00FC3A21"/>
    <w:rsid w:val="00FC71CC"/>
    <w:rsid w:val="00FC769D"/>
    <w:rsid w:val="00FD2395"/>
    <w:rsid w:val="00FD7311"/>
    <w:rsid w:val="00FE0BA3"/>
    <w:rsid w:val="00FE30A4"/>
    <w:rsid w:val="00FE6934"/>
    <w:rsid w:val="00FF36AF"/>
    <w:rsid w:val="00FF383B"/>
    <w:rsid w:val="00FF4F96"/>
    <w:rsid w:val="4BF649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18"/>
    <w:qFormat/>
    <w:uiPriority w:val="0"/>
    <w:pPr>
      <w:snapToGrid w:val="0"/>
      <w:spacing w:before="0" w:after="0" w:line="600" w:lineRule="exact"/>
      <w:ind w:firstLine="640" w:firstLineChars="200"/>
      <w:jc w:val="both"/>
    </w:pPr>
    <w:rPr>
      <w:rFonts w:ascii="黑体" w:hAnsi="Times new roan" w:eastAsia="黑体" w:cs="Times New Roman"/>
      <w:b w:val="0"/>
      <w:bCs w:val="0"/>
      <w:color w:val="000000" w:themeColor="text1"/>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1"/>
    <w:link w:val="19"/>
    <w:qFormat/>
    <w:uiPriority w:val="10"/>
    <w:pPr>
      <w:spacing w:before="240" w:after="60"/>
      <w:jc w:val="center"/>
      <w:outlineLvl w:val="0"/>
    </w:pPr>
    <w:rPr>
      <w:rFonts w:asciiTheme="majorHAnsi" w:hAnsiTheme="majorHAnsi" w:eastAsiaTheme="majorEastAsia" w:cstheme="majorBidi"/>
      <w:b/>
      <w:bCs/>
      <w:sz w:val="32"/>
      <w:szCs w:val="32"/>
    </w:rPr>
  </w:style>
  <w:style w:type="paragraph" w:styleId="4">
    <w:name w:val="annotation text"/>
    <w:basedOn w:val="1"/>
    <w:link w:val="20"/>
    <w:semiHidden/>
    <w:unhideWhenUsed/>
    <w:qFormat/>
    <w:uiPriority w:val="99"/>
    <w:pPr>
      <w:jc w:val="left"/>
    </w:pPr>
  </w:style>
  <w:style w:type="paragraph" w:styleId="5">
    <w:name w:val="Date"/>
    <w:basedOn w:val="1"/>
    <w:next w:val="1"/>
    <w:link w:val="25"/>
    <w:semiHidden/>
    <w:unhideWhenUsed/>
    <w:qFormat/>
    <w:uiPriority w:val="99"/>
    <w:pPr>
      <w:ind w:left="100" w:leftChars="2500"/>
    </w:pPr>
  </w:style>
  <w:style w:type="paragraph" w:styleId="6">
    <w:name w:val="Balloon Text"/>
    <w:basedOn w:val="1"/>
    <w:link w:val="15"/>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1"/>
    <w:semiHidden/>
    <w:unhideWhenUsed/>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basedOn w:val="12"/>
    <w:semiHidden/>
    <w:unhideWhenUsed/>
    <w:qFormat/>
    <w:uiPriority w:val="99"/>
    <w:rPr>
      <w:sz w:val="21"/>
      <w:szCs w:val="21"/>
    </w:rPr>
  </w:style>
  <w:style w:type="paragraph" w:styleId="14">
    <w:name w:val="List Paragraph"/>
    <w:basedOn w:val="1"/>
    <w:qFormat/>
    <w:uiPriority w:val="34"/>
    <w:pPr>
      <w:ind w:firstLine="420" w:firstLineChars="200"/>
    </w:pPr>
  </w:style>
  <w:style w:type="character" w:customStyle="1" w:styleId="15">
    <w:name w:val="批注框文本 Char"/>
    <w:basedOn w:val="12"/>
    <w:link w:val="6"/>
    <w:semiHidden/>
    <w:qFormat/>
    <w:uiPriority w:val="99"/>
    <w:rPr>
      <w:sz w:val="18"/>
      <w:szCs w:val="18"/>
    </w:rPr>
  </w:style>
  <w:style w:type="character" w:customStyle="1" w:styleId="16">
    <w:name w:val="页眉 Char"/>
    <w:basedOn w:val="12"/>
    <w:link w:val="8"/>
    <w:qFormat/>
    <w:uiPriority w:val="99"/>
    <w:rPr>
      <w:sz w:val="18"/>
      <w:szCs w:val="18"/>
    </w:rPr>
  </w:style>
  <w:style w:type="character" w:customStyle="1" w:styleId="17">
    <w:name w:val="页脚 Char"/>
    <w:basedOn w:val="12"/>
    <w:link w:val="7"/>
    <w:qFormat/>
    <w:uiPriority w:val="99"/>
    <w:rPr>
      <w:sz w:val="18"/>
      <w:szCs w:val="18"/>
    </w:rPr>
  </w:style>
  <w:style w:type="character" w:customStyle="1" w:styleId="18">
    <w:name w:val="标题 1 Char"/>
    <w:basedOn w:val="12"/>
    <w:link w:val="2"/>
    <w:qFormat/>
    <w:uiPriority w:val="0"/>
    <w:rPr>
      <w:rFonts w:ascii="黑体" w:hAnsi="Times new roan" w:eastAsia="黑体" w:cs="Times New Roman"/>
      <w:color w:val="000000" w:themeColor="text1"/>
      <w:sz w:val="32"/>
      <w:szCs w:val="32"/>
    </w:rPr>
  </w:style>
  <w:style w:type="character" w:customStyle="1" w:styleId="19">
    <w:name w:val="标题 Char"/>
    <w:basedOn w:val="12"/>
    <w:link w:val="3"/>
    <w:qFormat/>
    <w:uiPriority w:val="10"/>
    <w:rPr>
      <w:rFonts w:asciiTheme="majorHAnsi" w:hAnsiTheme="majorHAnsi" w:eastAsiaTheme="majorEastAsia" w:cstheme="majorBidi"/>
      <w:b/>
      <w:bCs/>
      <w:sz w:val="32"/>
      <w:szCs w:val="32"/>
    </w:rPr>
  </w:style>
  <w:style w:type="character" w:customStyle="1" w:styleId="20">
    <w:name w:val="批注文字 Char"/>
    <w:basedOn w:val="12"/>
    <w:link w:val="4"/>
    <w:semiHidden/>
    <w:qFormat/>
    <w:uiPriority w:val="99"/>
  </w:style>
  <w:style w:type="character" w:customStyle="1" w:styleId="21">
    <w:name w:val="批注主题 Char"/>
    <w:basedOn w:val="20"/>
    <w:link w:val="9"/>
    <w:semiHidden/>
    <w:qFormat/>
    <w:uiPriority w:val="99"/>
    <w:rPr>
      <w:b/>
      <w:bCs/>
    </w:rPr>
  </w:style>
  <w:style w:type="character" w:styleId="22">
    <w:name w:val="Placeholder Text"/>
    <w:basedOn w:val="12"/>
    <w:semiHidden/>
    <w:qFormat/>
    <w:uiPriority w:val="99"/>
    <w:rPr>
      <w:color w:val="808080"/>
    </w:rPr>
  </w:style>
  <w:style w:type="paragraph" w:customStyle="1" w:styleId="23">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4">
    <w:name w:val="正文 New"/>
    <w:qFormat/>
    <w:uiPriority w:val="0"/>
    <w:pPr>
      <w:widowControl w:val="0"/>
      <w:spacing w:line="240" w:lineRule="atLeast"/>
      <w:jc w:val="both"/>
    </w:pPr>
    <w:rPr>
      <w:rFonts w:ascii="Times New Roman" w:hAnsi="Times New Roman" w:eastAsia="仿宋_GB2312" w:cs="Times New Roman"/>
      <w:spacing w:val="-6"/>
      <w:kern w:val="2"/>
      <w:sz w:val="32"/>
      <w:szCs w:val="20"/>
      <w:lang w:val="en-US" w:eastAsia="zh-CN" w:bidi="ar-SA"/>
    </w:rPr>
  </w:style>
  <w:style w:type="character" w:customStyle="1" w:styleId="25">
    <w:name w:val="日期 Char"/>
    <w:basedOn w:val="12"/>
    <w:link w:val="5"/>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FBB0C3-BD9C-4C73-A810-72A44A807F12}">
  <ds:schemaRefs/>
</ds:datastoreItem>
</file>

<file path=docProps/app.xml><?xml version="1.0" encoding="utf-8"?>
<Properties xmlns="http://schemas.openxmlformats.org/officeDocument/2006/extended-properties" xmlns:vt="http://schemas.openxmlformats.org/officeDocument/2006/docPropsVTypes">
  <Template>Normal</Template>
  <Pages>10</Pages>
  <Words>2931</Words>
  <Characters>2962</Characters>
  <Lines>23</Lines>
  <Paragraphs>6</Paragraphs>
  <TotalTime>79</TotalTime>
  <ScaleCrop>false</ScaleCrop>
  <LinksUpToDate>false</LinksUpToDate>
  <CharactersWithSpaces>3083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2022-04-08T02:01:00Z</dcterms:created>
  <dc:creator>c</dc:creator>
  <cp:lastModifiedBy>小玉</cp:lastModifiedBy>
  <cp:lastPrinted>2022-04-25T03:49:00Z</cp:lastPrinted>
  <dcterms:modified xsi:type="dcterms:W3CDTF">2022-05-09T02:58:44Z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2182E3868810463BBE211ACCC49780CD</vt:lpwstr>
  </property>
</Properties>
</file>