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Times New Roman"/>
          <w:sz w:val="40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sz w:val="40"/>
          <w:szCs w:val="36"/>
        </w:rPr>
        <w:t>202</w:t>
      </w:r>
      <w:r>
        <w:rPr>
          <w:rFonts w:hint="eastAsia" w:ascii="方正小标宋_GBK" w:hAnsi="方正小标宋_GBK" w:eastAsia="方正小标宋_GBK" w:cs="Times New Roman"/>
          <w:sz w:val="40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Times New Roman"/>
          <w:sz w:val="40"/>
          <w:szCs w:val="36"/>
        </w:rPr>
        <w:t>年能源监管工作要点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202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年能源监管工作的总体思路是：以习近平新时代中国特色社会主义思想为指导，深入贯彻党的十九大和十九届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历次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全会精神，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坚持稳中求进工作总基调，完整、准确、全面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贯彻新发展理念，贯彻落实党中央、国务院决策部署以及中央经济工作会议、全国能源工作会议精神，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坚定不移贯彻落实能源安全新战略，以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推动能源治理体系和治理能力现代化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为目标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b/>
          <w:bCs/>
          <w:spacing w:val="6"/>
          <w:sz w:val="30"/>
          <w:szCs w:val="30"/>
          <w:lang w:eastAsia="zh-CN"/>
        </w:rPr>
        <w:t>提升</w:t>
      </w:r>
      <w:r>
        <w:rPr>
          <w:rFonts w:hint="eastAsia" w:ascii="Times New Roman" w:hAnsi="Times New Roman" w:eastAsia="方正仿宋_GBK" w:cs="Times New Roman"/>
          <w:b/>
          <w:bCs/>
          <w:spacing w:val="6"/>
          <w:sz w:val="30"/>
          <w:szCs w:val="30"/>
          <w:lang w:eastAsia="zh-CN"/>
        </w:rPr>
        <w:t>监</w:t>
      </w:r>
      <w:r>
        <w:rPr>
          <w:rFonts w:hint="default" w:ascii="Times New Roman" w:hAnsi="Times New Roman" w:eastAsia="方正仿宋_GBK" w:cs="Times New Roman"/>
          <w:b/>
          <w:bCs/>
          <w:spacing w:val="6"/>
          <w:sz w:val="30"/>
          <w:szCs w:val="30"/>
          <w:lang w:eastAsia="zh-CN"/>
        </w:rPr>
        <w:t>管效能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为主线，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以</w:t>
      </w:r>
      <w:r>
        <w:rPr>
          <w:rFonts w:hint="eastAsia" w:ascii="Times New Roman" w:hAnsi="Times New Roman" w:eastAsia="方正仿宋_GBK" w:cs="Times New Roman"/>
          <w:b/>
          <w:bCs/>
          <w:spacing w:val="6"/>
          <w:sz w:val="30"/>
          <w:szCs w:val="30"/>
          <w:lang w:eastAsia="zh-CN"/>
        </w:rPr>
        <w:t>加强监管队伍建设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为支撑，深化能源体制改革和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市场机制建设，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督促能源重大战略、规划、政策落地实施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维护公平竞争的市场秩序和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人民群众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合法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权益，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保障能源安全稳定供应，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推动能源革命、建设能源强国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中展现新作为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，以优异的成绩迎接党的二十大胜利召开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。重点抓好以下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个方面工作：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一、坚持围绕中心，不断提升服务党和国家工作大局的能力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加强党中央国务院重大决策部署落实情况监管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始终将保障能源安全作为能源监管的首要任务抓实抓细，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督促地方政府和能源企业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认真落实党中央国务院关于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能源保供的各项政策措施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注重发挥市场机制和市场监管作用，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优先保障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民生用能、绿色产业链用能等不受影响。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服务能源绿色低碳转型发展，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立足能源监管职责，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科学监管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能源领域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碳达峰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、碳中和”政策措施的落地实施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深入贯彻落实能源领域“放管服”改革部署和要求，统筹推进市场监管、行业监管和电力安全监管，加强反垄断和反不正当竞争，以公正监管保障公平竞争，提高资源配置效率和公平性。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default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加强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</w:rPr>
        <w:t>能源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规划、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</w:rPr>
        <w:t>政策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、重大项目实施情况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</w:rPr>
        <w:t>监管。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健全“十四五”能源规划实施机制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确保地方规划与国家规划有效衔接。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“十四五”能源规划，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跟踪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关注重要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输电通道、油气管道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及互联互通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、大型煤矿、水电站、核电站、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天然气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储气设施等工程项目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推进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情况，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及时发现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项目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推进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中的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突出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问题。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加强对煤电气电规划建设、北方地区冬季清洁取暖、整县屋顶分布式光伏开发试点、可再生能源消纳责任权重、煤层气开发利用等重点领域监管，确保政策执行不跑偏、不走样。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加强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  <w:lang w:eastAsia="zh-CN"/>
        </w:rPr>
        <w:t>能源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市场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  <w:lang w:eastAsia="zh-CN"/>
        </w:rPr>
        <w:t>运行监测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分析与监管</w:t>
      </w:r>
      <w:r>
        <w:rPr>
          <w:rFonts w:hint="default" w:ascii="方正楷体_GBK" w:hAnsi="方正楷体_GBK" w:eastAsia="方正楷体_GBK" w:cs="方正楷体_GBK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坚持底线思维，增强风险意识，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严格执行重要监管事项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报告制度，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充分发挥派出机构“派”的权威和“驻”的优势，了解掌握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电煤、电力、天然气等能源市场动态变化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及时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发现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能源发展中存在的苗头性、倾向性、潜在性问题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。各派出机构要加强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与地方政府相关部门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会商研判，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督促能源企业落实防范化解市场供应风险主体责任，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并在职责范围内采取切实可行的措施，做到尽早发现、及时报告、妥善处置，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保障能源市场运行平稳有序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二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、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坚持改革创新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，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不断提升推进能源市场化建设的水平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（四）深入推进多层次统一电力市场体系建设。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遵循电力市场运行规律和市场经济规律，严格落实《电力中长期交易基本规则》《电力并网运行管理规定》《电力辅助服务管理办法》相关要求，稳步推进国家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省（区、市）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电力市场建设，推动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南方区域电力市场启动试运行，研究制定长三角、京津冀等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区域电力市场建设方案，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引导各层次电力市场协同运行、融合发展。推动完善煤电价格市场化形成机制，扩大市场交易电价上下浮动范围。在具备条件的地区，积极支持新能源参与市场交易，以市场化机制促进新能源消纳。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（五）深化电力市场机制建设。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完善电力中长期市场、现货市场和辅助服务市场衔接机制，扩大市场化交易规模。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加快修订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各地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电力中长期交易实施细则，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规范交易组织，丰富交易品种，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推动工商业用户全部进入市场。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鼓励市场主体签订多年中长期交易合同，科学引导电力规划和有效投资。稳妥推进电力现货市场试点建设，推动用电侧有效参与现货市场。进一步完善辅助服务市场机制，抓紧修订“两个细则”，规范和丰富调频、备用、爬坡、转动惯量等辅助服务交易品种。建立用户参与的辅助服务分担共享机制，全面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推动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高载能工业负荷、工商业可调节负荷、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新型储能、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电动汽车充电网络、虚拟电厂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等参与提供辅助服务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。推进区域辅助服务市场建设，启动南方区域备用市场、川渝一体化调峰市场试运行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（六）积极推进天然气市场体系建设。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稳步推进地方天然气管网运营机制改革，加快实现管网运销分离，引导和推进省级管网公司以市场化方式融入国家管网公司。完善天然气管网设施公平开放制度，制定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</w:rPr>
        <w:t>天然气管网设施托运商准入规则和天然气管网设施容量分配规则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，丰富容量服务产品，规范交易方式，促进形成上游资源多主体多渠道供应、下游销售市场充分竞争的市场体系。积极推动储气库库容市场化交易，不断完善储气调峰辅助服务市场机制。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三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、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坚持依法依规，不断提升能源监管的公正性和权威性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（七）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强化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电力市场秩序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监管。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强化电力调度交易与市场秩序监管，规范市场成员自律行为，指导市场运营机构建立完善电力市场运营监控和风险防控机制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加强市场运营机构、市场主体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信息披露行为监管，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促进信息公开透明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。落实《电网公平开放监管办法》，加强电源接入电网、电网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之间互联等行为的监管，规范工作流程与时限要求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加强电力市场交易及电价政策执行情况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监管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，及时纠正以降价为目的的专场交易、设置不合理准入门槛、不当干预市场、限制市场竞争等行为。规范电网企业代理购电行为，不断缩小代理购电范围。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强化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油气管网设施公平开放监管。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加强对管网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设施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运营企业的监管，督促管网设施运营企业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严格按要求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做好公平开放服务的申请与受理等工作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，及时公开受理标准和受理结果，不断提升服务质量和水平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。推动管输服务合同标准化，加强LNG接收站合同签订和保供履约情况监管，督促企业履行社会责任。继续做好管网设施信息公开和信息报送工作，优化企业网上信息公开和信息报送内容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，提高信息报送的及时性、准确性和完整性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强化能源行政执法工作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坚持依法监管，严格落实《行政处罚法》，全面推行行政执法公示制度、执法全过程记录制度、重大执法决定法制审核制度。进一步细化执法工作程序，规范行政处罚、行政强制、行政检查以及执法信息统计等行为，提高监管的公正性和透明度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加大能源行政执法力度，严肃查处用户受电工程“三指定”、向虚拟货币“挖矿”项目违法供电等行为，对直接关系人民群众用电权益、公共用电安全等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社会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反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响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较大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领域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持续开展专项整治，保持高压态势。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四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、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坚持监管为民，不断提升人民群众用能的获得感和满意度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（十）持续优化用电营商环境。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严格落实《关于全面提升“获得电力”服务水平 持续优化用电营商环境的意见》，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对照工作任务台账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进一步压实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各方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责任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，确保相关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目标任务按期完成。加强典型经验宣传报道和推广，定期通报各地政企协同办电平台建设、提升高压办电服务水平、“三到位”等工作进展情况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。适时组织召开全国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提升“获得电力”服务水平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工作推进会，着力推动解决工作中的短板和薄弱环节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，把“获得电力”打造成国内营商环境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优质服务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（十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持续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做好投诉举报处理工作。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加强12398能源监管热线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运行管理，畅通投诉举报渠道。加大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12398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能源监管热线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电话、微信公众号、APP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标识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宣传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普及工作力度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在市场运营机构营业场所和网站显著位置添加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12398热线标识，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做好相关问题线索和信息的收集、分析汇总工作。研究建立国家能源局跨业务部门投诉举报处理机制，针对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12398热线反映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的涉及不同业务领域的投诉举报、政策咨询等事项，按照各司其职、各负其责、相互配合、齐抓共管的原则，建立会商制度，提高办理满意率。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定期发布投诉举报处理情况通报，发挥社会舆论监督作用。积极开展争议纠纷调解和裁决工作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，降低市场主体的维权成本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（十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持续提升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电力行政许可服务水平。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持续推进电力业务资质许可告知承诺制，完善证后核查工作机制，严肃处理不实和虚假承诺企业。认真做好电力业务许可准入与退出工作，有序开展持证超设计寿命水电机组摸底排查，做好淘汰落后产能煤电机组许可证注销工作。进一步完善电力许可管理制度，推动许可工作标准化、规范化。完善升级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资质和信用信息系统功能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，做好许可动态追踪、全程追溯。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</w:pP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五、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坚持协同高效，不断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提升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能源</w:t>
      </w:r>
      <w:r>
        <w:rPr>
          <w:rFonts w:hint="default" w:ascii="方正黑体_GBK" w:hAnsi="方正黑体_GBK" w:eastAsia="方正黑体_GBK" w:cs="黑体"/>
          <w:spacing w:val="6"/>
          <w:sz w:val="30"/>
          <w:szCs w:val="30"/>
          <w:lang w:eastAsia="zh-CN"/>
        </w:rPr>
        <w:t>监管</w:t>
      </w: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的精准性和有效性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（十三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加强监管统筹协调。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按照“谁审批、谁监管，谁主管、谁监管”的原则，进一步健全能源监管工作机制，推进行业管理与监管深度融合，建立局机关各司、有关事业单位与派出机构上下贯通的协同监管机制，提升能源治理水平。加强对派出机构的指导，局机关相关司、有关事业单位应主动运用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监管工作例会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、通气会等方式，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讲解政策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措施、提出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监管要求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，形成横向协同、纵向联动的工作体系。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加强监管任务的统筹部署，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围绕局党组中心工作，研究制定年度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能源监管重点任务清单，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统筹平衡各单位重点监管工作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进一步发挥区域监管局在辖区内的业务牵头作用，组织开展定期工作会商、联合执法、交叉检查等，形成区域监管合力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6"/>
          <w:kern w:val="0"/>
          <w:sz w:val="30"/>
          <w:szCs w:val="30"/>
          <w:lang w:val="en-US" w:eastAsia="zh-CN" w:bidi="ar"/>
        </w:rPr>
        <w:t>（十四）创新监管方式方法。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6"/>
          <w:kern w:val="0"/>
          <w:sz w:val="30"/>
          <w:szCs w:val="30"/>
          <w:lang w:val="en-US" w:eastAsia="zh-CN" w:bidi="ar"/>
        </w:rPr>
        <w:t>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val="en-US" w:eastAsia="zh-CN"/>
        </w:rPr>
        <w:t>善现场监管组长负责制，明确组长基本条件、工作职责和相关要求，提升监督检查工作质量。研究建立能源监管业务骨干库，从中抽调人员开展专项监管等工作，并在监管任务完成后对其工作表现进行评定。针对重点行业探索驻点综合监管，2022年率先在电力行业开展驻点综合监管试点，实现全方位全链条立体化监管。积极推动监管信息系统建设，开发利用“互联网+”等技术手段实施非现场监管，探索疫情防控常态化下的新型监管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（十五）强化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监管成果运用。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各派出机构要提高监管发现问题的质量，并有针对性地提出监管意见建议。对职责范围内的事项，要依法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采取责令改正、行政处罚、监管约谈等方式进行处理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。要建立问题清单台账，明确整改责任、整改措施和时限要求，适时开展“回头看”，确保问题整改取得实效。局机关相关司、有关事业单位要认真研究分析监管发现的问题，明确问题处理原则和标准，并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将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监管意见建议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作为拟订行业规划、政策和项目审批的重要参考或依据。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进一步提升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监管报告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（通报）的影响力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，重点披露监管工作中发现的问题和典型案例，发挥社会舆论监督作用。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default" w:ascii="方正楷体_GBK" w:hAnsi="方正楷体_GBK" w:eastAsia="方正楷体_GBK" w:cs="方正楷体_GBK"/>
          <w:spacing w:val="6"/>
          <w:sz w:val="30"/>
          <w:szCs w:val="30"/>
          <w:lang w:eastAsia="zh-CN"/>
        </w:rPr>
        <w:t>（十六）积极应用信用手段。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研究建立以信用为基础的新型能源监管机制，进一步推进“双随机、一公开”和信用分级分类监管深度融合，在电力资质许可等领域开展信用监管试点。深化信用信息归集共享应用，完善信用报告定期发布机制，通报行业信用状况，预警信用风险，实施守信激励和失信惩戒。鼓励和支持能源行业市场主体、行业协会等开展信用承诺、信用评价、信用修复等活动，积极推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行业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共建和协同监管，营造诚实守信营商环境。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方正黑体_GBK" w:hAnsi="方正黑体_GBK" w:eastAsia="方正黑体_GBK" w:cs="黑体"/>
          <w:spacing w:val="6"/>
          <w:sz w:val="30"/>
          <w:szCs w:val="30"/>
        </w:rPr>
      </w:pPr>
      <w:r>
        <w:rPr>
          <w:rFonts w:hint="eastAsia" w:ascii="方正黑体_GBK" w:hAnsi="方正黑体_GBK" w:eastAsia="方正黑体_GBK" w:cs="黑体"/>
          <w:spacing w:val="6"/>
          <w:sz w:val="30"/>
          <w:szCs w:val="30"/>
          <w:lang w:eastAsia="zh-CN"/>
        </w:rPr>
        <w:t>六、坚持党建引领，不断提升做好能源监管工作的本领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十七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进一步发挥党建引领作用。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深入学习贯彻习近平新时代中国特色社会主义思想，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巩固深化党史学习教育成果，建立党史学习教育常态化、长效化机制，不断提高党员干部的政治判断力、政治领悟力、政治执行力。深入推进基层党组织规范化标准化建设，压紧压实党建工作责任，深化党建业务融合，充分发挥基层党组织战斗堡垒作用和党员先锋模范作用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深入贯彻全面从严治党要求，严格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落实领导干部“一岗双责”和党风廉政建设“两个责任”，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坚决纠治“四风”，营造风清气正的良好政治生态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十八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）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进一步改进工作作风。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严格按照权责清单履行法定职责，不缺位、不越位，慎重决策，依法用权。加强调查研究，深入基层、深入一线，实事求是、原汁原味反映监管发现的问题，坚决防止简单化、乱作为，坚决反对不担当、不作为。规范各类督查检查和现场监管活动，合理确定监管范围，统筹好时间安排，避免重复检查、扎堆检查，切实减轻企业和基层负担。严守政治纪律和工作纪律，增强保密意识，未经批准不得对外公布或透露涉及重大监管事项的敏感信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  <w:lang w:eastAsia="zh-CN"/>
        </w:rPr>
        <w:t>（十九）进一步加强能源监管队伍建设</w:t>
      </w:r>
      <w:r>
        <w:rPr>
          <w:rFonts w:hint="eastAsia" w:ascii="方正楷体_GBK" w:hAnsi="方正楷体_GBK" w:eastAsia="方正楷体_GBK" w:cs="方正楷体_GBK"/>
          <w:spacing w:val="6"/>
          <w:sz w:val="30"/>
          <w:szCs w:val="30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制定出台加强监管能力建设的实施意见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打造高素质专业化监管人才队伍。注重思想淬炼、政治历练、实践锻炼和专业训练，不断增强做好能源监管工作的本领。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加强教育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培训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，组织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开展政治理论、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市场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行业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监管、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行政执法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等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方面的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专题培训研讨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加强能源监管国际合作交流，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适时举办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亚太能源监管论坛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，开展双边及多边监管合作</w:t>
      </w:r>
      <w:r>
        <w:rPr>
          <w:rFonts w:hint="default" w:ascii="Times New Roman" w:hAnsi="Times New Roman" w:eastAsia="方正仿宋_GBK" w:cs="Times New Roman"/>
          <w:spacing w:val="6"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0"/>
          <w:szCs w:val="30"/>
          <w:lang w:eastAsia="zh-CN"/>
        </w:rPr>
        <w:t>坚持严管厚爱相结合，积极营造“组织想干部、干部想工作”浓厚氛围，充分调动和激发干部队伍的积极性、主动性、创造性。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tbl>
      <w:tblPr>
        <w:tblStyle w:val="12"/>
        <w:tblpPr w:vertAnchor="page" w:horzAnchor="page" w:tblpXSpec="center" w:tblpY="1425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8"/>
        <w:gridCol w:w="3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5298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320" w:leftChars="10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国家能源局综合司"/>
                  </w:textInput>
                </w:ffData>
              </w:fldChar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instrText xml:space="preserve">FORMTEXT</w:instrTex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t>国家能源局综合司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fldChar w:fldCharType="end"/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320" w:rightChars="100" w:firstLine="0" w:firstLineChars="0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sz w:val="28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8"/>
                <w:lang w:val="en-US" w:eastAsia="zh-CN"/>
              </w:rPr>
              <w:t>1月12日印发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2097" w:right="1474" w:bottom="1984" w:left="1587" w:header="566" w:footer="1361" w:gutter="0"/>
      <w:paperSrc/>
      <w:pgNumType w:start="1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34ABCD-4555-4937-BA4F-374449818D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5892172-89F9-4FB3-A131-4F61A4F4F5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FDDABE6-BFA1-4F96-A1F5-5C2AA21BC6C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ECC1C9-18B6-4AE0-82AA-0B4ABEDBAC13}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B079BA4E-5CAF-466D-9670-D160343A7073}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6" w:fontKey="{F4E0B989-D977-4CC8-826F-F14DAB074E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0" w:after="40" w:afterLines="0" w:line="240" w:lineRule="auto"/>
      <w:ind w:left="0" w:leftChars="0" w:right="567" w:rightChars="0" w:firstLine="0" w:firstLineChars="0"/>
      <w:jc w:val="right"/>
      <w:textAlignment w:val="bottom"/>
      <w:outlineLvl w:val="9"/>
      <w:rPr>
        <w:rFonts w:hint="eastAsia" w:ascii="宋体" w:hAnsi="宋体" w:eastAsia="宋体"/>
        <w:sz w:val="28"/>
        <w:lang w:eastAsia="zh-CN"/>
      </w:rPr>
    </w:pPr>
    <w:r>
      <w:rPr>
        <w:rFonts w:hint="eastAsia" w:ascii="宋体" w:hAnsi="宋体" w:eastAsia="宋体"/>
        <w:spacing w:val="0"/>
        <w:sz w:val="28"/>
        <w:lang w:eastAsia="zh-CN"/>
      </w:rPr>
      <w:t>—</w:t>
    </w:r>
    <w:r>
      <w:rPr>
        <w:rFonts w:hint="eastAsia" w:ascii="宋体" w:hAnsi="宋体" w:eastAsia="宋体"/>
        <w:spacing w:val="0"/>
        <w:sz w:val="28"/>
        <w:lang w:val="en-US" w:eastAsia="zh-CN"/>
      </w:rPr>
      <w:t xml:space="preserve"> </w:t>
    </w:r>
    <w:r>
      <w:rPr>
        <w:rFonts w:hint="eastAsia" w:eastAsia="宋体"/>
        <w:spacing w:val="0"/>
        <w:sz w:val="28"/>
      </w:rPr>
      <w:fldChar w:fldCharType="begin"/>
    </w:r>
    <w:r>
      <w:rPr>
        <w:rFonts w:hint="eastAsia" w:eastAsia="宋体"/>
        <w:spacing w:val="0"/>
        <w:sz w:val="28"/>
      </w:rPr>
      <w:instrText xml:space="preserve"> PAGE \* Arabic \* MERGEFORMAT </w:instrText>
    </w:r>
    <w:r>
      <w:rPr>
        <w:rFonts w:hint="eastAsia" w:eastAsia="宋体"/>
        <w:spacing w:val="0"/>
        <w:sz w:val="28"/>
      </w:rPr>
      <w:fldChar w:fldCharType="separate"/>
    </w:r>
    <w:r>
      <w:t>1</w:t>
    </w:r>
    <w:r>
      <w:rPr>
        <w:rFonts w:hint="eastAsia" w:eastAsia="宋体"/>
        <w:spacing w:val="0"/>
        <w:sz w:val="28"/>
      </w:rPr>
      <w:fldChar w:fldCharType="end"/>
    </w:r>
    <w:r>
      <w:rPr>
        <w:rFonts w:hint="eastAsia" w:eastAsia="宋体"/>
        <w:spacing w:val="0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before="0" w:beforeLines="0" w:beforeAutospacing="0" w:after="40" w:afterLines="0" w:afterAutospacing="0" w:line="240" w:lineRule="auto"/>
      <w:ind w:left="567" w:leftChars="0" w:right="0" w:rightChars="0" w:firstLine="0" w:firstLineChars="0"/>
      <w:jc w:val="both"/>
      <w:textAlignment w:val="bottom"/>
      <w:outlineLvl w:val="9"/>
      <w:rPr>
        <w:rFonts w:hint="eastAsia" w:ascii="宋体" w:hAnsi="宋体" w:eastAsia="宋体"/>
        <w:sz w:val="28"/>
        <w:lang w:eastAsia="zh-CN"/>
      </w:rPr>
    </w:pPr>
    <w:r>
      <w:rPr>
        <w:rFonts w:hint="eastAsia" w:ascii="宋体" w:hAnsi="宋体" w:eastAsia="宋体"/>
        <w:spacing w:val="0"/>
        <w:sz w:val="28"/>
        <w:lang w:eastAsia="zh-CN"/>
      </w:rPr>
      <w:t>—</w:t>
    </w:r>
    <w:r>
      <w:rPr>
        <w:rFonts w:hint="eastAsia" w:ascii="宋体" w:hAnsi="宋体" w:eastAsia="宋体"/>
        <w:spacing w:val="0"/>
        <w:sz w:val="28"/>
        <w:lang w:val="en-US" w:eastAsia="zh-CN"/>
      </w:rPr>
      <w:t xml:space="preserve"> 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\* Arabic \* MERGEFORMAT </w:instrText>
    </w:r>
    <w:r>
      <w:rPr>
        <w:rFonts w:hint="eastAsia"/>
        <w:sz w:val="28"/>
      </w:rPr>
      <w:fldChar w:fldCharType="separate"/>
    </w:r>
    <w:r>
      <w:t>2</w:t>
    </w:r>
    <w:r>
      <w:rPr>
        <w:rFonts w:hint="eastAsia"/>
        <w:sz w:val="28"/>
      </w:rPr>
      <w:fldChar w:fldCharType="end"/>
    </w:r>
    <w:r>
      <w:rPr>
        <w:rFonts w:hint="eastAsia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6" w:lineRule="auto"/>
      </w:pPr>
      <w:r>
        <w:separator/>
      </w:r>
    </w:p>
  </w:footnote>
  <w:footnote w:type="continuationSeparator" w:id="1">
    <w:p>
      <w:pPr>
        <w:spacing w:before="0" w:after="0" w:line="34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6E52710"/>
    <w:rsid w:val="7FFD9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eastAsia="仿宋_GB2312"/>
      <w:sz w:val="32"/>
    </w:rPr>
  </w:style>
  <w:style w:type="paragraph" w:styleId="2">
    <w:name w:val="heading 1"/>
    <w:basedOn w:val="1"/>
    <w:next w:val="3"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6" w:lineRule="auto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oc 1"/>
    <w:basedOn w:val="1"/>
    <w:next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8">
    <w:name w:val="toc 4"/>
    <w:basedOn w:val="1"/>
    <w:next w:val="1"/>
    <w:uiPriority w:val="0"/>
    <w:pPr>
      <w:spacing w:line="306" w:lineRule="auto"/>
      <w:ind w:firstLine="629" w:firstLineChars="0"/>
    </w:pPr>
  </w:style>
  <w:style w:type="paragraph" w:styleId="9">
    <w:name w:val="toc 2"/>
    <w:basedOn w:val="1"/>
    <w:next w:val="1"/>
    <w:uiPriority w:val="0"/>
    <w:pPr>
      <w:spacing w:line="306" w:lineRule="auto"/>
      <w:ind w:firstLine="209" w:firstLineChars="0"/>
    </w:pPr>
  </w:style>
  <w:style w:type="paragraph" w:styleId="10">
    <w:name w:val="Title"/>
    <w:basedOn w:val="1"/>
    <w:next w:val="1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1">
    <w:name w:val="文章附标题"/>
    <w:basedOn w:val="1"/>
    <w:next w:val="2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styleId="14">
    <w:name w:val="page number"/>
    <w:basedOn w:val="13"/>
    <w:uiPriority w:val="0"/>
  </w:style>
  <w:style w:type="character" w:customStyle="1" w:styleId="15">
    <w:name w:val="页码 New"/>
    <w:basedOn w:val="13"/>
    <w:uiPriority w:val="0"/>
  </w:style>
  <w:style w:type="character" w:customStyle="1" w:styleId="16">
    <w:name w:val="链接"/>
    <w:basedOn w:val="13"/>
    <w:uiPriority w:val="0"/>
    <w:rPr>
      <w:color w:val="0000FF"/>
      <w:u w:val="single" w:color="0000FF"/>
    </w:rPr>
  </w:style>
  <w:style w:type="character" w:customStyle="1" w:styleId="17">
    <w:name w:val="超级链接"/>
    <w:basedOn w:val="13"/>
    <w:uiPriority w:val="0"/>
    <w:rPr>
      <w:color w:val="0000FF"/>
      <w:u w:val="single" w:color="0000FF"/>
    </w:rPr>
  </w:style>
  <w:style w:type="paragraph" w:customStyle="1" w:styleId="18">
    <w:name w:val="正文 New New New New New New New New New New New New New New New New New New New"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eastAsia="仿宋_GB2312"/>
      <w:sz w:val="32"/>
    </w:rPr>
  </w:style>
  <w:style w:type="paragraph" w:customStyle="1" w:styleId="19">
    <w:name w:val="页脚 New"/>
    <w:basedOn w:val="20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20">
    <w:name w:val="正文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paragraph" w:customStyle="1" w:styleId="21">
    <w:name w:val="正文 New New New New New New New New New New New New New New New New New New New New New New New New New"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eastAsia="仿宋_GB2312"/>
      <w:sz w:val="32"/>
    </w:rPr>
  </w:style>
  <w:style w:type="paragraph" w:customStyle="1" w:styleId="22">
    <w:name w:val="正文 New New New New New New New New New New New New New New New New New New New New New New New New"/>
    <w:uiPriority w:val="0"/>
    <w:pPr>
      <w:widowControl w:val="0"/>
      <w:spacing w:before="0" w:beforeLines="0" w:after="0" w:afterLines="0" w:line="346" w:lineRule="auto"/>
      <w:ind w:left="1" w:right="0" w:firstLine="419" w:firstLineChars="0"/>
      <w:jc w:val="both"/>
      <w:textAlignment w:val="bottom"/>
    </w:pPr>
    <w:rPr>
      <w:rFonts w:eastAsia="仿宋_GB2312"/>
      <w:sz w:val="32"/>
    </w:rPr>
  </w:style>
  <w:style w:type="paragraph" w:customStyle="1" w:styleId="23">
    <w:name w:val="页脚 New New"/>
    <w:basedOn w:val="24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24">
    <w:name w:val="正文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paragraph" w:customStyle="1" w:styleId="25">
    <w:name w:val="WPS Plain"/>
    <w:uiPriority w:val="0"/>
  </w:style>
  <w:style w:type="paragraph" w:customStyle="1" w:styleId="26">
    <w:name w:val="正文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paragraph" w:customStyle="1" w:styleId="27">
    <w:name w:val="页脚 New New New"/>
    <w:basedOn w:val="28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28">
    <w:name w:val="正文 New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  <w:style w:type="paragraph" w:customStyle="1" w:styleId="29">
    <w:name w:val="目录标题"/>
    <w:basedOn w:val="1"/>
    <w:next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黑体"/>
      <w:spacing w:val="209"/>
      <w:sz w:val="52"/>
    </w:rPr>
  </w:style>
  <w:style w:type="paragraph" w:customStyle="1" w:styleId="30">
    <w:name w:val="正文 New New New New New New New New New New New New New New New New New New New New New New New New New New"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\Desktop\&#22269;&#33021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国能发.dot</Template>
  <Pages>2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2012-07-19T09:21:03Z</dcterms:created>
  <dc:creator>WYS</dc:creator>
  <cp:lastModifiedBy>小玉</cp:lastModifiedBy>
  <cp:lastPrinted>2022-01-13T11:35:15Z</cp:lastPrinted>
  <dcterms:modified xsi:type="dcterms:W3CDTF">2022-01-20T08:58:39Z</dcterms:modified>
  <dc:title>公文份数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3CAFDF7732DA477681BF07D81E840C81</vt:lpwstr>
  </property>
</Properties>
</file>